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5051F" w:rsidRDefault="00000000">
      <w:pPr>
        <w:pStyle w:val="null5"/>
        <w:rPr>
          <w:rFonts w:hint="default"/>
        </w:rPr>
      </w:pPr>
      <w:r>
        <w:t xml:space="preserve"> </w:t>
      </w:r>
    </w:p>
    <w:p w:rsidR="0055051F" w:rsidRDefault="0055051F">
      <w:pPr>
        <w:pStyle w:val="1"/>
        <w:adjustRightInd w:val="0"/>
        <w:snapToGrid w:val="0"/>
        <w:ind w:left="142"/>
        <w:jc w:val="center"/>
        <w:rPr>
          <w:rFonts w:ascii="黑体" w:eastAsia="黑体" w:hAnsi="黑体"/>
          <w:bCs/>
          <w:color w:val="011893"/>
          <w:sz w:val="52"/>
          <w:szCs w:val="52"/>
        </w:rPr>
      </w:pPr>
    </w:p>
    <w:p w:rsidR="0055051F" w:rsidRDefault="0055051F">
      <w:pPr>
        <w:pStyle w:val="1"/>
        <w:adjustRightInd w:val="0"/>
        <w:snapToGrid w:val="0"/>
        <w:ind w:left="142"/>
        <w:jc w:val="center"/>
        <w:rPr>
          <w:rFonts w:ascii="黑体" w:eastAsia="黑体" w:hAnsi="黑体"/>
          <w:bCs/>
          <w:color w:val="011893"/>
          <w:sz w:val="52"/>
          <w:szCs w:val="52"/>
        </w:rPr>
      </w:pPr>
    </w:p>
    <w:p w:rsidR="0055051F" w:rsidRDefault="0055051F">
      <w:pPr>
        <w:pStyle w:val="1"/>
        <w:adjustRightInd w:val="0"/>
        <w:snapToGrid w:val="0"/>
        <w:ind w:left="142"/>
        <w:jc w:val="center"/>
        <w:rPr>
          <w:rFonts w:ascii="黑体" w:eastAsia="黑体" w:hAnsi="黑体"/>
          <w:bCs/>
          <w:color w:val="011893"/>
          <w:sz w:val="52"/>
          <w:szCs w:val="52"/>
        </w:rPr>
      </w:pPr>
    </w:p>
    <w:p w:rsidR="0055051F" w:rsidRDefault="00000000">
      <w:pPr>
        <w:pStyle w:val="1"/>
        <w:adjustRightInd w:val="0"/>
        <w:snapToGrid w:val="0"/>
        <w:ind w:left="142"/>
        <w:jc w:val="center"/>
        <w:rPr>
          <w:rFonts w:ascii="黑体" w:eastAsia="黑体" w:hAnsi="黑体"/>
          <w:bCs/>
          <w:color w:val="011893"/>
          <w:sz w:val="52"/>
          <w:szCs w:val="52"/>
        </w:rPr>
      </w:pPr>
      <w:r>
        <w:rPr>
          <w:rFonts w:ascii="黑体" w:eastAsia="黑体" w:hAnsi="黑体"/>
          <w:bCs/>
          <w:color w:val="011893"/>
          <w:sz w:val="52"/>
          <w:szCs w:val="52"/>
        </w:rPr>
        <w:t>大连市律师协会公司法律专业委员会</w:t>
      </w:r>
    </w:p>
    <w:p w:rsidR="0055051F" w:rsidRDefault="0055051F">
      <w:pPr>
        <w:adjustRightInd w:val="0"/>
        <w:snapToGrid w:val="0"/>
        <w:ind w:firstLineChars="200" w:firstLine="590"/>
        <w:jc w:val="center"/>
        <w:rPr>
          <w:rFonts w:ascii="黑体" w:eastAsia="黑体" w:hAnsi="黑体" w:cs="黑体"/>
          <w:b/>
          <w:bCs/>
          <w:color w:val="333399"/>
          <w:spacing w:val="-3"/>
          <w:kern w:val="2"/>
          <w:sz w:val="30"/>
          <w:szCs w:val="30"/>
          <w:lang w:eastAsia="zh-CN"/>
        </w:rPr>
      </w:pPr>
    </w:p>
    <w:p w:rsidR="0055051F" w:rsidRDefault="0055051F">
      <w:pPr>
        <w:spacing w:before="98"/>
        <w:ind w:firstLineChars="200" w:firstLine="600"/>
        <w:rPr>
          <w:rFonts w:ascii="黑体" w:eastAsia="黑体" w:hAnsi="黑体" w:cs="黑体"/>
          <w:kern w:val="2"/>
          <w:sz w:val="30"/>
          <w:szCs w:val="30"/>
          <w:lang w:eastAsia="zh-CN"/>
        </w:rPr>
      </w:pPr>
    </w:p>
    <w:p w:rsidR="0055051F" w:rsidRDefault="00000000">
      <w:pPr>
        <w:spacing w:beforeLines="50" w:before="120" w:afterLines="50" w:after="120" w:line="360" w:lineRule="auto"/>
        <w:jc w:val="center"/>
        <w:rPr>
          <w:rFonts w:ascii="宋体" w:hAnsi="宋体" w:cs="黑体"/>
          <w:b/>
          <w:bCs/>
          <w:color w:val="FF0000"/>
          <w:kern w:val="2"/>
          <w:sz w:val="52"/>
          <w:szCs w:val="52"/>
          <w:lang w:eastAsia="zh-CN"/>
        </w:rPr>
      </w:pPr>
      <w:r>
        <w:rPr>
          <w:rFonts w:ascii="宋体" w:hAnsi="宋体" w:cs="黑体" w:hint="eastAsia"/>
          <w:b/>
          <w:bCs/>
          <w:color w:val="FF0000"/>
          <w:kern w:val="2"/>
          <w:sz w:val="52"/>
          <w:szCs w:val="52"/>
          <w:lang w:eastAsia="zh-CN"/>
        </w:rPr>
        <w:t>公司法律信息速递</w:t>
      </w:r>
    </w:p>
    <w:p w:rsidR="0055051F" w:rsidRDefault="0055051F">
      <w:pPr>
        <w:spacing w:beforeLines="50" w:before="120" w:afterLines="50" w:after="120" w:line="360" w:lineRule="auto"/>
        <w:ind w:firstLineChars="200" w:firstLine="602"/>
        <w:jc w:val="center"/>
        <w:rPr>
          <w:rFonts w:ascii="宋体" w:hAnsi="宋体" w:cs="黑体"/>
          <w:b/>
          <w:bCs/>
          <w:color w:val="FF0000"/>
          <w:kern w:val="2"/>
          <w:sz w:val="30"/>
          <w:szCs w:val="30"/>
          <w:lang w:eastAsia="zh-CN"/>
        </w:rPr>
      </w:pPr>
    </w:p>
    <w:p w:rsidR="0055051F" w:rsidRDefault="00000000">
      <w:pPr>
        <w:spacing w:beforeLines="50" w:before="120" w:afterLines="50" w:after="120" w:line="360" w:lineRule="auto"/>
        <w:ind w:firstLineChars="200" w:firstLine="562"/>
        <w:jc w:val="center"/>
        <w:rPr>
          <w:rFonts w:ascii="宋体" w:hAnsi="宋体" w:cs="黑体"/>
          <w:b/>
          <w:bCs/>
          <w:kern w:val="2"/>
          <w:sz w:val="28"/>
          <w:szCs w:val="28"/>
          <w:lang w:eastAsia="zh-CN"/>
        </w:rPr>
      </w:pPr>
      <w:r>
        <w:rPr>
          <w:rFonts w:ascii="宋体" w:hAnsi="宋体" w:cs="黑体" w:hint="eastAsia"/>
          <w:b/>
          <w:bCs/>
          <w:kern w:val="2"/>
          <w:sz w:val="28"/>
          <w:szCs w:val="28"/>
          <w:lang w:eastAsia="zh-CN"/>
        </w:rPr>
        <w:t>2026年第</w:t>
      </w:r>
      <w:r w:rsidR="006A17D4">
        <w:rPr>
          <w:rFonts w:ascii="宋体" w:hAnsi="宋体" w:cs="黑体"/>
          <w:b/>
          <w:bCs/>
          <w:kern w:val="2"/>
          <w:sz w:val="28"/>
          <w:szCs w:val="28"/>
          <w:lang w:eastAsia="zh-CN"/>
        </w:rPr>
        <w:t>2</w:t>
      </w:r>
      <w:r>
        <w:rPr>
          <w:rFonts w:ascii="宋体" w:hAnsi="宋体" w:cs="黑体" w:hint="eastAsia"/>
          <w:b/>
          <w:bCs/>
          <w:kern w:val="2"/>
          <w:sz w:val="28"/>
          <w:szCs w:val="28"/>
          <w:lang w:eastAsia="zh-CN"/>
        </w:rPr>
        <w:t>期</w:t>
      </w:r>
    </w:p>
    <w:p w:rsidR="0055051F" w:rsidRDefault="0055051F">
      <w:pPr>
        <w:spacing w:beforeLines="50" w:before="120" w:afterLines="50" w:after="120" w:line="360" w:lineRule="auto"/>
        <w:ind w:firstLineChars="200" w:firstLine="562"/>
        <w:jc w:val="center"/>
        <w:rPr>
          <w:rFonts w:ascii="宋体" w:hAnsi="宋体" w:cs="黑体"/>
          <w:b/>
          <w:bCs/>
          <w:kern w:val="2"/>
          <w:sz w:val="28"/>
          <w:szCs w:val="28"/>
          <w:lang w:eastAsia="zh-CN"/>
        </w:rPr>
      </w:pPr>
    </w:p>
    <w:p w:rsidR="0055051F" w:rsidRDefault="0055051F">
      <w:pPr>
        <w:spacing w:beforeLines="50" w:before="120" w:afterLines="50" w:after="120" w:line="360" w:lineRule="auto"/>
        <w:ind w:firstLineChars="200" w:firstLine="562"/>
        <w:jc w:val="center"/>
        <w:rPr>
          <w:rFonts w:ascii="宋体" w:hAnsi="宋体" w:cs="黑体"/>
          <w:b/>
          <w:bCs/>
          <w:kern w:val="2"/>
          <w:sz w:val="28"/>
          <w:szCs w:val="28"/>
          <w:lang w:eastAsia="zh-CN"/>
        </w:rPr>
      </w:pPr>
    </w:p>
    <w:p w:rsidR="0055051F" w:rsidRDefault="0055051F">
      <w:pPr>
        <w:spacing w:beforeLines="50" w:before="120" w:afterLines="50" w:after="120" w:line="360" w:lineRule="auto"/>
        <w:ind w:firstLineChars="200" w:firstLine="562"/>
        <w:jc w:val="center"/>
        <w:rPr>
          <w:rFonts w:ascii="宋体" w:hAnsi="宋体" w:cs="黑体"/>
          <w:b/>
          <w:bCs/>
          <w:kern w:val="2"/>
          <w:sz w:val="28"/>
          <w:szCs w:val="28"/>
          <w:lang w:eastAsia="zh-CN"/>
        </w:rPr>
      </w:pPr>
    </w:p>
    <w:p w:rsidR="0055051F"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本期编辑：</w:t>
      </w:r>
      <w:r w:rsidR="006A17D4">
        <w:rPr>
          <w:rFonts w:ascii="宋体" w:hAnsi="宋体" w:cs="黑体" w:hint="eastAsia"/>
          <w:kern w:val="2"/>
          <w:sz w:val="24"/>
          <w:szCs w:val="24"/>
          <w:lang w:eastAsia="zh-CN"/>
        </w:rPr>
        <w:t>任昱佳</w:t>
      </w:r>
      <w:r>
        <w:rPr>
          <w:rFonts w:ascii="宋体" w:hAnsi="宋体" w:cs="黑体" w:hint="eastAsia"/>
          <w:kern w:val="2"/>
          <w:sz w:val="24"/>
          <w:szCs w:val="24"/>
          <w:lang w:eastAsia="zh-CN"/>
        </w:rPr>
        <w:t xml:space="preserve">律师 </w:t>
      </w:r>
      <w:r w:rsidR="006A17D4">
        <w:rPr>
          <w:rFonts w:ascii="宋体" w:hAnsi="宋体" w:cs="黑体" w:hint="eastAsia"/>
          <w:kern w:val="2"/>
          <w:sz w:val="24"/>
          <w:szCs w:val="24"/>
          <w:lang w:eastAsia="zh-CN"/>
        </w:rPr>
        <w:t>辽宁智库律师事务所</w:t>
      </w:r>
    </w:p>
    <w:p w:rsidR="0055051F" w:rsidRDefault="0055051F">
      <w:pPr>
        <w:spacing w:beforeLines="50" w:before="120" w:afterLines="50" w:after="120" w:line="360" w:lineRule="auto"/>
        <w:ind w:firstLineChars="800" w:firstLine="1920"/>
        <w:rPr>
          <w:rFonts w:ascii="宋体" w:hAnsi="宋体" w:cs="黑体"/>
          <w:kern w:val="2"/>
          <w:sz w:val="24"/>
          <w:szCs w:val="24"/>
          <w:lang w:eastAsia="zh-CN"/>
        </w:rPr>
      </w:pPr>
    </w:p>
    <w:p w:rsidR="0055051F" w:rsidRDefault="00000000">
      <w:pPr>
        <w:spacing w:beforeLines="50" w:before="120" w:afterLines="50" w:after="120" w:line="360" w:lineRule="auto"/>
        <w:ind w:firstLineChars="800" w:firstLine="1920"/>
        <w:rPr>
          <w:rFonts w:ascii="宋体" w:hAnsi="宋体" w:cs="黑体"/>
          <w:kern w:val="2"/>
          <w:sz w:val="24"/>
          <w:szCs w:val="24"/>
          <w:lang w:eastAsia="zh-CN"/>
        </w:rPr>
      </w:pPr>
      <w:r>
        <w:rPr>
          <w:rFonts w:ascii="宋体" w:hAnsi="宋体" w:cs="黑体" w:hint="eastAsia"/>
          <w:kern w:val="2"/>
          <w:sz w:val="24"/>
          <w:szCs w:val="24"/>
          <w:lang w:eastAsia="zh-CN"/>
        </w:rPr>
        <w:t>责任编辑：赵莹莹律师 辽宁智库律师事务所</w:t>
      </w:r>
    </w:p>
    <w:p w:rsidR="0055051F" w:rsidRDefault="0055051F">
      <w:pPr>
        <w:pStyle w:val="null5"/>
        <w:spacing w:line="360" w:lineRule="auto"/>
        <w:ind w:firstLineChars="200" w:firstLine="560"/>
        <w:rPr>
          <w:rFonts w:hint="default"/>
          <w:color w:val="000000"/>
          <w:sz w:val="28"/>
        </w:rPr>
      </w:pPr>
    </w:p>
    <w:p w:rsidR="0055051F"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b/>
          <w:bCs/>
          <w:color w:val="011893"/>
          <w:spacing w:val="7"/>
          <w:kern w:val="2"/>
          <w:szCs w:val="24"/>
          <w:lang w:eastAsia="zh-CN"/>
        </w:rPr>
      </w:pPr>
      <w:r>
        <w:rPr>
          <w:rFonts w:ascii="黑体" w:eastAsia="黑体" w:hAnsi="黑体" w:cs="黑体" w:hint="eastAsia"/>
          <w:b/>
          <w:bCs/>
          <w:color w:val="011893"/>
          <w:spacing w:val="8"/>
          <w:kern w:val="2"/>
          <w:sz w:val="20"/>
          <w:szCs w:val="20"/>
          <w:lang w:eastAsia="zh-CN"/>
        </w:rPr>
        <w:t>特别声明：本信息简报所载内容均来自国内报刊、专业网站已发表的文章等信息。在任何情形下，本信息简报均不可作为法律意见、作出行动或制止行动的</w:t>
      </w:r>
      <w:r>
        <w:rPr>
          <w:rFonts w:ascii="黑体" w:eastAsia="黑体" w:hAnsi="黑体" w:cs="黑体" w:hint="eastAsia"/>
          <w:b/>
          <w:bCs/>
          <w:color w:val="011893"/>
          <w:spacing w:val="7"/>
          <w:kern w:val="2"/>
          <w:sz w:val="20"/>
          <w:szCs w:val="20"/>
          <w:lang w:eastAsia="zh-CN"/>
        </w:rPr>
        <w:t>依据。</w:t>
      </w:r>
    </w:p>
    <w:p w:rsidR="0055051F" w:rsidRDefault="00000000">
      <w:pPr>
        <w:pBdr>
          <w:top w:val="single" w:sz="4" w:space="6" w:color="auto"/>
          <w:left w:val="single" w:sz="4" w:space="4" w:color="auto"/>
          <w:bottom w:val="single" w:sz="4" w:space="1" w:color="auto"/>
          <w:right w:val="single" w:sz="4" w:space="4" w:color="auto"/>
        </w:pBdr>
        <w:spacing w:before="132" w:line="271" w:lineRule="auto"/>
        <w:ind w:right="157" w:firstLineChars="200" w:firstLine="434"/>
        <w:rPr>
          <w:rFonts w:ascii="黑体" w:eastAsia="黑体" w:hAnsi="黑体" w:cs="黑体"/>
          <w:color w:val="011893"/>
          <w:kern w:val="2"/>
          <w:sz w:val="20"/>
          <w:szCs w:val="20"/>
          <w:lang w:eastAsia="zh-CN"/>
        </w:rPr>
      </w:pPr>
      <w:r>
        <w:rPr>
          <w:rFonts w:ascii="黑体" w:eastAsia="黑体" w:hAnsi="黑体" w:cs="黑体" w:hint="eastAsia"/>
          <w:b/>
          <w:bCs/>
          <w:color w:val="011893"/>
          <w:spacing w:val="8"/>
          <w:kern w:val="2"/>
          <w:sz w:val="20"/>
          <w:szCs w:val="20"/>
          <w:lang w:eastAsia="zh-CN"/>
        </w:rPr>
        <w:t>版权保护：本信息简报由大连市律师协会公司法律专业委员会共同编辑并发布。任何有关本信息简报的转载或摘编，请注明出处。</w:t>
      </w:r>
    </w:p>
    <w:p w:rsidR="0055051F" w:rsidRDefault="0055051F">
      <w:pPr>
        <w:rPr>
          <w:rFonts w:ascii="等线" w:eastAsia="等线" w:hAnsi="等线" w:cs="黑体"/>
          <w:kern w:val="2"/>
          <w:szCs w:val="24"/>
          <w:lang w:eastAsia="zh-CN"/>
        </w:rPr>
      </w:pPr>
    </w:p>
    <w:p w:rsidR="0055051F" w:rsidRPr="006A17D4" w:rsidRDefault="0055051F" w:rsidP="006A17D4">
      <w:pPr>
        <w:rPr>
          <w:rFonts w:ascii="仿宋_GB2312" w:eastAsia="仿宋_GB2312" w:hAnsi="仿宋_GB2312" w:cs="仿宋_GB2312" w:hint="eastAsia"/>
          <w:color w:val="000000"/>
          <w:sz w:val="28"/>
          <w:lang w:eastAsia="zh-CN"/>
        </w:rPr>
      </w:pPr>
    </w:p>
    <w:p w:rsidR="0055051F" w:rsidRDefault="0055051F">
      <w:pPr>
        <w:pStyle w:val="null5"/>
        <w:spacing w:line="360" w:lineRule="auto"/>
        <w:rPr>
          <w:rFonts w:hint="default"/>
          <w:color w:val="000000"/>
          <w:sz w:val="28"/>
        </w:rPr>
      </w:pPr>
    </w:p>
    <w:p w:rsidR="006A17D4" w:rsidRDefault="006A17D4">
      <w:pPr>
        <w:pStyle w:val="null5"/>
        <w:spacing w:line="360" w:lineRule="auto"/>
        <w:rPr>
          <w:color w:val="000000"/>
          <w:sz w:val="28"/>
        </w:rPr>
      </w:pPr>
    </w:p>
    <w:p w:rsidR="0055051F" w:rsidRDefault="00000000">
      <w:pPr>
        <w:pStyle w:val="null5"/>
        <w:spacing w:line="360" w:lineRule="auto"/>
        <w:ind w:firstLineChars="200" w:firstLine="602"/>
        <w:jc w:val="center"/>
        <w:rPr>
          <w:rFonts w:ascii="宋体" w:eastAsia="宋体" w:hAnsi="宋体" w:cs="宋体" w:hint="default"/>
          <w:b/>
          <w:bCs/>
          <w:sz w:val="30"/>
          <w:szCs w:val="30"/>
        </w:rPr>
      </w:pPr>
      <w:r>
        <w:rPr>
          <w:rFonts w:ascii="宋体" w:eastAsia="宋体" w:hAnsi="宋体" w:cs="宋体"/>
          <w:b/>
          <w:bCs/>
          <w:color w:val="000000"/>
          <w:sz w:val="30"/>
          <w:szCs w:val="30"/>
        </w:rPr>
        <w:lastRenderedPageBreak/>
        <w:t>目录</w:t>
      </w:r>
    </w:p>
    <w:p w:rsidR="0055051F"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1.12月25日，十四届全国人大常委会第十三次会议表决通过了《中华人民共和国增值税法》（自2026年1月1日起施行）。</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2.2025年12月31日，国务院发布《商事调解条例》（自2026年5月1日起施行）。</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3.2025年10月16日，中国证监会发布《上市公司治理准则》（自2026年1月1日起施行）。</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4.</w:t>
      </w:r>
      <w:r>
        <w:rPr>
          <w:rFonts w:ascii="宋体" w:hAnsi="宋体" w:cs="黑体"/>
          <w:kern w:val="2"/>
          <w:sz w:val="24"/>
          <w:szCs w:val="24"/>
          <w:lang w:eastAsia="zh-CN"/>
        </w:rPr>
        <w:t>202</w:t>
      </w:r>
      <w:r>
        <w:rPr>
          <w:rFonts w:ascii="宋体" w:hAnsi="宋体" w:cs="黑体" w:hint="eastAsia"/>
          <w:kern w:val="2"/>
          <w:sz w:val="24"/>
          <w:szCs w:val="24"/>
          <w:lang w:eastAsia="zh-CN"/>
        </w:rPr>
        <w:t>6</w:t>
      </w:r>
      <w:r>
        <w:rPr>
          <w:rFonts w:ascii="宋体" w:hAnsi="宋体" w:cs="黑体"/>
          <w:kern w:val="2"/>
          <w:sz w:val="24"/>
          <w:szCs w:val="24"/>
          <w:lang w:eastAsia="zh-CN"/>
        </w:rPr>
        <w:t>年</w:t>
      </w:r>
      <w:r>
        <w:rPr>
          <w:rFonts w:ascii="宋体" w:hAnsi="宋体" w:cs="黑体" w:hint="eastAsia"/>
          <w:kern w:val="2"/>
          <w:sz w:val="24"/>
          <w:szCs w:val="24"/>
          <w:lang w:eastAsia="zh-CN"/>
        </w:rPr>
        <w:t>1</w:t>
      </w:r>
      <w:r>
        <w:rPr>
          <w:rFonts w:ascii="宋体" w:hAnsi="宋体" w:cs="黑体"/>
          <w:kern w:val="2"/>
          <w:sz w:val="24"/>
          <w:szCs w:val="24"/>
          <w:lang w:eastAsia="zh-CN"/>
        </w:rPr>
        <w:t>月</w:t>
      </w:r>
      <w:r>
        <w:rPr>
          <w:rFonts w:ascii="宋体" w:hAnsi="宋体" w:cs="黑体" w:hint="eastAsia"/>
          <w:kern w:val="2"/>
          <w:sz w:val="24"/>
          <w:szCs w:val="24"/>
          <w:lang w:eastAsia="zh-CN"/>
        </w:rPr>
        <w:t>6</w:t>
      </w:r>
      <w:r>
        <w:rPr>
          <w:rFonts w:ascii="宋体" w:hAnsi="宋体" w:cs="黑体"/>
          <w:kern w:val="2"/>
          <w:sz w:val="24"/>
          <w:szCs w:val="24"/>
          <w:lang w:eastAsia="zh-CN"/>
        </w:rPr>
        <w:t>日</w:t>
      </w:r>
      <w:r>
        <w:rPr>
          <w:rFonts w:ascii="宋体" w:hAnsi="宋体" w:cs="黑体" w:hint="eastAsia"/>
          <w:kern w:val="2"/>
          <w:sz w:val="24"/>
          <w:szCs w:val="24"/>
          <w:lang w:eastAsia="zh-CN"/>
        </w:rPr>
        <w:t>，</w:t>
      </w:r>
      <w:r>
        <w:rPr>
          <w:rFonts w:ascii="宋体" w:hAnsi="宋体" w:cs="黑体"/>
          <w:kern w:val="2"/>
          <w:sz w:val="24"/>
          <w:szCs w:val="24"/>
          <w:lang w:eastAsia="zh-CN"/>
        </w:rPr>
        <w:t>市场监管总局</w:t>
      </w:r>
      <w:r>
        <w:rPr>
          <w:rFonts w:ascii="宋体" w:hAnsi="宋体" w:cs="黑体" w:hint="eastAsia"/>
          <w:kern w:val="2"/>
          <w:sz w:val="24"/>
          <w:szCs w:val="24"/>
          <w:lang w:eastAsia="zh-CN"/>
        </w:rPr>
        <w:t>发布《</w:t>
      </w:r>
      <w:r>
        <w:rPr>
          <w:rFonts w:ascii="宋体" w:hAnsi="宋体" w:cs="黑体"/>
          <w:kern w:val="2"/>
          <w:sz w:val="24"/>
          <w:szCs w:val="24"/>
          <w:lang w:eastAsia="zh-CN"/>
        </w:rPr>
        <w:t>关于印发经营主体登记文书规范和提交材料规范（2026年版）的通知</w:t>
      </w:r>
      <w:r>
        <w:rPr>
          <w:rFonts w:ascii="宋体" w:hAnsi="宋体" w:cs="黑体" w:hint="eastAsia"/>
          <w:kern w:val="2"/>
          <w:sz w:val="24"/>
          <w:szCs w:val="24"/>
          <w:lang w:eastAsia="zh-CN"/>
        </w:rPr>
        <w:t>》（自</w:t>
      </w:r>
      <w:r>
        <w:rPr>
          <w:rFonts w:ascii="宋体" w:hAnsi="宋体" w:cs="黑体"/>
          <w:kern w:val="2"/>
          <w:sz w:val="24"/>
          <w:szCs w:val="24"/>
          <w:lang w:eastAsia="zh-CN"/>
        </w:rPr>
        <w:t>2026年1月</w:t>
      </w:r>
      <w:r>
        <w:rPr>
          <w:rFonts w:ascii="宋体" w:hAnsi="宋体" w:cs="黑体" w:hint="eastAsia"/>
          <w:kern w:val="2"/>
          <w:sz w:val="24"/>
          <w:szCs w:val="24"/>
          <w:lang w:eastAsia="zh-CN"/>
        </w:rPr>
        <w:t>6</w:t>
      </w:r>
      <w:r>
        <w:rPr>
          <w:rFonts w:ascii="宋体" w:hAnsi="宋体" w:cs="黑体"/>
          <w:kern w:val="2"/>
          <w:sz w:val="24"/>
          <w:szCs w:val="24"/>
          <w:lang w:eastAsia="zh-CN"/>
        </w:rPr>
        <w:t>日起施行</w:t>
      </w:r>
      <w:r>
        <w:rPr>
          <w:rFonts w:ascii="宋体" w:hAnsi="宋体" w:cs="黑体" w:hint="eastAsia"/>
          <w:kern w:val="2"/>
          <w:sz w:val="24"/>
          <w:szCs w:val="24"/>
          <w:lang w:eastAsia="zh-CN"/>
        </w:rPr>
        <w:t>）。</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5.2025年12月30日，市场监管总局、公安部、人力资源社会保障部、中国人民银行、海关总署、税务总局六部门共同发布《企业注销指引（2025年修订）》。</w:t>
      </w:r>
    </w:p>
    <w:p w:rsidR="0055051F"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二、典型示范案例解析</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案例1：林方清诉常熟市凯莱实业有限公司、戴小明公司解散纠纷案【案号：（2006)苏中民二初字第0277号，(2010)苏商终字第0043号】</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hint="eastAsia"/>
          <w:kern w:val="2"/>
          <w:sz w:val="24"/>
          <w:szCs w:val="24"/>
          <w:lang w:eastAsia="zh-CN"/>
        </w:rPr>
        <w:t>案例2：李建军诉上海佳动力环保科技有限公司公司决议撤销纠纷案【案号：(2010)沪二中民四(商)终字第436号】</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3</w:t>
      </w:r>
      <w:r>
        <w:rPr>
          <w:rFonts w:ascii="宋体" w:hAnsi="宋体" w:cs="黑体"/>
          <w:kern w:val="2"/>
          <w:sz w:val="24"/>
          <w:szCs w:val="24"/>
          <w:lang w:eastAsia="zh-CN"/>
        </w:rPr>
        <w:t>：汤长龙诉周士海股权转让纠纷案</w:t>
      </w:r>
      <w:r>
        <w:rPr>
          <w:rFonts w:ascii="宋体" w:hAnsi="宋体" w:cs="黑体" w:hint="eastAsia"/>
          <w:kern w:val="2"/>
          <w:sz w:val="24"/>
          <w:szCs w:val="24"/>
          <w:lang w:eastAsia="zh-CN"/>
        </w:rPr>
        <w:t>【</w:t>
      </w:r>
      <w:r>
        <w:rPr>
          <w:rFonts w:ascii="宋体" w:hAnsi="宋体" w:cs="黑体"/>
          <w:kern w:val="2"/>
          <w:sz w:val="24"/>
          <w:szCs w:val="24"/>
          <w:lang w:eastAsia="zh-CN"/>
        </w:rPr>
        <w:t>案号：(2015)民申字第2532号</w:t>
      </w:r>
      <w:r>
        <w:rPr>
          <w:rFonts w:ascii="宋体" w:hAnsi="宋体" w:cs="黑体" w:hint="eastAsia"/>
          <w:kern w:val="2"/>
          <w:sz w:val="24"/>
          <w:szCs w:val="24"/>
          <w:lang w:eastAsia="zh-CN"/>
        </w:rPr>
        <w:t>】</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4</w:t>
      </w:r>
      <w:r>
        <w:rPr>
          <w:rFonts w:ascii="宋体" w:hAnsi="宋体" w:cs="黑体"/>
          <w:kern w:val="2"/>
          <w:sz w:val="24"/>
          <w:szCs w:val="24"/>
          <w:lang w:eastAsia="zh-CN"/>
        </w:rPr>
        <w:t>：王某月诉薛某亮清算责任纠纷案</w:t>
      </w:r>
      <w:r>
        <w:rPr>
          <w:rFonts w:ascii="宋体" w:hAnsi="宋体" w:cs="黑体" w:hint="eastAsia"/>
          <w:kern w:val="2"/>
          <w:sz w:val="24"/>
          <w:szCs w:val="24"/>
          <w:lang w:eastAsia="zh-CN"/>
        </w:rPr>
        <w:t>【</w:t>
      </w:r>
      <w:r>
        <w:rPr>
          <w:rFonts w:ascii="宋体" w:hAnsi="宋体" w:cs="黑体"/>
          <w:kern w:val="2"/>
          <w:sz w:val="24"/>
          <w:szCs w:val="24"/>
          <w:lang w:eastAsia="zh-CN"/>
        </w:rPr>
        <w:t>案号：(2024)京0106民初3698号</w:t>
      </w:r>
      <w:r>
        <w:rPr>
          <w:rFonts w:ascii="宋体" w:hAnsi="宋体" w:cs="黑体" w:hint="eastAsia"/>
          <w:kern w:val="2"/>
          <w:sz w:val="24"/>
          <w:szCs w:val="24"/>
          <w:lang w:eastAsia="zh-CN"/>
        </w:rPr>
        <w:t>，入库编号2025-08-2-284-001】</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5</w:t>
      </w:r>
      <w:r>
        <w:rPr>
          <w:rFonts w:ascii="宋体" w:hAnsi="宋体" w:cs="黑体"/>
          <w:kern w:val="2"/>
          <w:sz w:val="24"/>
          <w:szCs w:val="24"/>
          <w:lang w:eastAsia="zh-CN"/>
        </w:rPr>
        <w:t>：天津市某钢铁炉料贸易有限公司诉某冶金集团轧三金属材料科技有限公司、某冶金集团（控股）有限公司股东损害公司债权人利益责任案</w:t>
      </w:r>
      <w:r>
        <w:rPr>
          <w:rFonts w:ascii="宋体" w:hAnsi="宋体" w:cs="黑体" w:hint="eastAsia"/>
          <w:kern w:val="2"/>
          <w:sz w:val="24"/>
          <w:szCs w:val="24"/>
          <w:lang w:eastAsia="zh-CN"/>
        </w:rPr>
        <w:t>【</w:t>
      </w:r>
      <w:r>
        <w:rPr>
          <w:rFonts w:ascii="宋体" w:hAnsi="宋体" w:cs="黑体"/>
          <w:kern w:val="2"/>
          <w:sz w:val="24"/>
          <w:szCs w:val="24"/>
          <w:lang w:eastAsia="zh-CN"/>
        </w:rPr>
        <w:t>案号：</w:t>
      </w:r>
      <w:r w:rsidR="006A17D4">
        <w:rPr>
          <w:rFonts w:ascii="宋体" w:hAnsi="宋体" w:cs="黑体"/>
          <w:kern w:val="2"/>
          <w:sz w:val="24"/>
          <w:szCs w:val="24"/>
          <w:lang w:eastAsia="zh-CN"/>
        </w:rPr>
        <w:t>（2022）</w:t>
      </w:r>
      <w:r>
        <w:rPr>
          <w:rFonts w:ascii="宋体" w:hAnsi="宋体" w:cs="黑体"/>
          <w:kern w:val="2"/>
          <w:sz w:val="24"/>
          <w:szCs w:val="24"/>
          <w:lang w:eastAsia="zh-CN"/>
        </w:rPr>
        <w:t>津02民终7656号</w:t>
      </w:r>
      <w:r>
        <w:rPr>
          <w:rFonts w:ascii="宋体" w:hAnsi="宋体" w:cs="黑体" w:hint="eastAsia"/>
          <w:kern w:val="2"/>
          <w:sz w:val="24"/>
          <w:szCs w:val="24"/>
          <w:lang w:eastAsia="zh-CN"/>
        </w:rPr>
        <w:t>，入库编号2025-08-2-277-001】</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6</w:t>
      </w:r>
      <w:r>
        <w:rPr>
          <w:rFonts w:ascii="宋体" w:hAnsi="宋体" w:cs="黑体"/>
          <w:kern w:val="2"/>
          <w:sz w:val="24"/>
          <w:szCs w:val="24"/>
          <w:lang w:eastAsia="zh-CN"/>
        </w:rPr>
        <w:t>：汤某诉北京某新型材料技术有限公司请求变更公司登记纠纷案</w:t>
      </w:r>
      <w:r>
        <w:rPr>
          <w:rFonts w:ascii="宋体" w:hAnsi="宋体" w:cs="黑体" w:hint="eastAsia"/>
          <w:kern w:val="2"/>
          <w:sz w:val="24"/>
          <w:szCs w:val="24"/>
          <w:lang w:eastAsia="zh-CN"/>
        </w:rPr>
        <w:t>【</w:t>
      </w:r>
      <w:r>
        <w:rPr>
          <w:rFonts w:ascii="宋体" w:hAnsi="宋体" w:cs="黑体"/>
          <w:kern w:val="2"/>
          <w:sz w:val="24"/>
          <w:szCs w:val="24"/>
          <w:lang w:eastAsia="zh-CN"/>
        </w:rPr>
        <w:t>案号：（2022）京02民初176号</w:t>
      </w:r>
      <w:r>
        <w:rPr>
          <w:rFonts w:ascii="宋体" w:hAnsi="宋体" w:cs="黑体" w:hint="eastAsia"/>
          <w:kern w:val="2"/>
          <w:sz w:val="24"/>
          <w:szCs w:val="24"/>
          <w:lang w:eastAsia="zh-CN"/>
        </w:rPr>
        <w:t>，入库编号2025-08-2-264-001】</w:t>
      </w:r>
    </w:p>
    <w:p w:rsidR="0055051F" w:rsidRDefault="00000000">
      <w:pPr>
        <w:adjustRightInd w:val="0"/>
        <w:snapToGrid w:val="0"/>
        <w:spacing w:line="480" w:lineRule="exact"/>
        <w:ind w:firstLineChars="200" w:firstLine="480"/>
        <w:rPr>
          <w:rFonts w:ascii="宋体" w:hAnsi="宋体" w:cs="黑体"/>
          <w:kern w:val="2"/>
          <w:sz w:val="24"/>
          <w:szCs w:val="24"/>
          <w:lang w:eastAsia="zh-CN"/>
        </w:rPr>
      </w:pPr>
      <w:r>
        <w:rPr>
          <w:rFonts w:ascii="宋体" w:hAnsi="宋体" w:cs="黑体"/>
          <w:kern w:val="2"/>
          <w:sz w:val="24"/>
          <w:szCs w:val="24"/>
          <w:lang w:eastAsia="zh-CN"/>
        </w:rPr>
        <w:t>案例</w:t>
      </w:r>
      <w:r>
        <w:rPr>
          <w:rFonts w:ascii="宋体" w:hAnsi="宋体" w:cs="黑体" w:hint="eastAsia"/>
          <w:kern w:val="2"/>
          <w:sz w:val="24"/>
          <w:szCs w:val="24"/>
          <w:lang w:eastAsia="zh-CN"/>
        </w:rPr>
        <w:t>7</w:t>
      </w:r>
      <w:r>
        <w:rPr>
          <w:rFonts w:ascii="宋体" w:hAnsi="宋体" w:cs="黑体"/>
          <w:kern w:val="2"/>
          <w:sz w:val="24"/>
          <w:szCs w:val="24"/>
          <w:lang w:eastAsia="zh-CN"/>
        </w:rPr>
        <w:t>：广州某甲网络科技有限公司诉罗某峰、周某磊清算责任纠纷案</w:t>
      </w:r>
      <w:r>
        <w:rPr>
          <w:rFonts w:ascii="宋体" w:hAnsi="宋体" w:cs="黑体" w:hint="eastAsia"/>
          <w:kern w:val="2"/>
          <w:sz w:val="24"/>
          <w:szCs w:val="24"/>
          <w:lang w:eastAsia="zh-CN"/>
        </w:rPr>
        <w:t>【</w:t>
      </w:r>
      <w:r>
        <w:rPr>
          <w:rFonts w:ascii="宋体" w:hAnsi="宋体" w:cs="黑体"/>
          <w:kern w:val="2"/>
          <w:sz w:val="24"/>
          <w:szCs w:val="24"/>
          <w:lang w:eastAsia="zh-CN"/>
        </w:rPr>
        <w:t>案号：（2023）鲁07民终2353号</w:t>
      </w:r>
      <w:r>
        <w:rPr>
          <w:rFonts w:ascii="宋体" w:hAnsi="宋体" w:cs="黑体" w:hint="eastAsia"/>
          <w:kern w:val="2"/>
          <w:sz w:val="24"/>
          <w:szCs w:val="24"/>
          <w:lang w:eastAsia="zh-CN"/>
        </w:rPr>
        <w:t>，入库编号2025-01-2-284-001】</w:t>
      </w:r>
    </w:p>
    <w:p w:rsidR="0055051F" w:rsidRPr="006A17D4" w:rsidRDefault="00000000" w:rsidP="006A17D4">
      <w:pPr>
        <w:adjustRightInd w:val="0"/>
        <w:snapToGrid w:val="0"/>
        <w:spacing w:line="480" w:lineRule="exact"/>
        <w:ind w:firstLineChars="200" w:firstLine="480"/>
        <w:rPr>
          <w:rFonts w:ascii="宋体" w:hAnsi="宋体" w:cs="黑体" w:hint="eastAsia"/>
          <w:kern w:val="2"/>
          <w:sz w:val="24"/>
          <w:szCs w:val="24"/>
          <w:lang w:eastAsia="zh-CN"/>
        </w:rPr>
      </w:pPr>
      <w:r>
        <w:rPr>
          <w:rFonts w:ascii="宋体" w:hAnsi="宋体" w:cs="黑体"/>
          <w:kern w:val="2"/>
          <w:sz w:val="24"/>
          <w:szCs w:val="24"/>
          <w:lang w:eastAsia="zh-CN"/>
        </w:rPr>
        <w:t>案例8：徐某骥诉上海某物业管理有限公司等公司解散纠纷案</w:t>
      </w:r>
      <w:r>
        <w:rPr>
          <w:rFonts w:ascii="宋体" w:hAnsi="宋体" w:cs="黑体" w:hint="eastAsia"/>
          <w:kern w:val="2"/>
          <w:sz w:val="24"/>
          <w:szCs w:val="24"/>
          <w:lang w:eastAsia="zh-CN"/>
        </w:rPr>
        <w:t>【</w:t>
      </w:r>
      <w:r>
        <w:rPr>
          <w:rFonts w:ascii="宋体" w:hAnsi="宋体" w:cs="黑体"/>
          <w:kern w:val="2"/>
          <w:sz w:val="24"/>
          <w:szCs w:val="24"/>
          <w:lang w:eastAsia="zh-CN"/>
        </w:rPr>
        <w:t>案号：（2022）沪0105民初21387号</w:t>
      </w:r>
      <w:r>
        <w:rPr>
          <w:rFonts w:ascii="宋体" w:hAnsi="宋体" w:cs="黑体" w:hint="eastAsia"/>
          <w:kern w:val="2"/>
          <w:sz w:val="24"/>
          <w:szCs w:val="24"/>
          <w:lang w:eastAsia="zh-CN"/>
        </w:rPr>
        <w:t>，入库编号2025-08-2-283-001】</w:t>
      </w:r>
    </w:p>
    <w:p w:rsidR="0055051F" w:rsidRDefault="00000000">
      <w:pPr>
        <w:pStyle w:val="null5"/>
        <w:spacing w:line="480" w:lineRule="exact"/>
        <w:ind w:firstLineChars="200" w:firstLine="602"/>
        <w:jc w:val="center"/>
        <w:outlineLvl w:val="0"/>
        <w:rPr>
          <w:rFonts w:ascii="宋体" w:eastAsia="宋体" w:hAnsi="宋体" w:cs="宋体" w:hint="default"/>
          <w:b/>
          <w:sz w:val="30"/>
          <w:szCs w:val="30"/>
        </w:rPr>
      </w:pPr>
      <w:r>
        <w:rPr>
          <w:rFonts w:ascii="宋体" w:eastAsia="宋体" w:hAnsi="宋体" w:cs="宋体"/>
          <w:b/>
          <w:color w:val="000000"/>
          <w:sz w:val="30"/>
          <w:szCs w:val="30"/>
        </w:rPr>
        <w:lastRenderedPageBreak/>
        <w:t>正文</w:t>
      </w:r>
    </w:p>
    <w:p w:rsidR="0055051F" w:rsidRDefault="00000000">
      <w:pPr>
        <w:adjustRightInd w:val="0"/>
        <w:snapToGrid w:val="0"/>
        <w:spacing w:beforeLines="50" w:before="120" w:afterLines="50" w:after="120" w:line="480" w:lineRule="exact"/>
        <w:ind w:firstLineChars="200" w:firstLine="562"/>
        <w:outlineLvl w:val="0"/>
        <w:rPr>
          <w:rFonts w:ascii="宋体" w:hAnsi="宋体" w:cs="黑体"/>
          <w:b/>
          <w:bCs/>
          <w:color w:val="FFFFFF"/>
          <w:kern w:val="2"/>
          <w:sz w:val="28"/>
          <w:szCs w:val="28"/>
          <w:highlight w:val="blue"/>
          <w:lang w:eastAsia="zh-CN"/>
        </w:rPr>
      </w:pPr>
      <w:r>
        <w:rPr>
          <w:rFonts w:ascii="宋体" w:hAnsi="宋体" w:cs="黑体" w:hint="eastAsia"/>
          <w:b/>
          <w:bCs/>
          <w:color w:val="FFFFFF"/>
          <w:kern w:val="2"/>
          <w:sz w:val="28"/>
          <w:szCs w:val="28"/>
          <w:highlight w:val="blue"/>
          <w:lang w:eastAsia="zh-CN"/>
        </w:rPr>
        <w:t>一、新法规政策总览</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1.12月25日，十四届全国人大常委会第十三次会议表决通过了《中华人民共和国增值税法》（自2026年1月1日起施行）。</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要点提示：</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该法规定了增值税的征税范围，明确在中华人民共和国境内销售货物、服务、无形资产、不动产，以及进口货物的单位和个人，为增值税的纳税人，应当依照本法规定缴纳增值税；同时对应税交易、视同应税交易、不属于应税交易的情形等作出规定。</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2.2025年12月31日，国务院发布《商事调解条例》（自2026年5月1日起施行）。</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hint="default"/>
          <w:b/>
          <w:bCs/>
          <w:color w:val="000000"/>
        </w:rPr>
        <w:t>要点提示：</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该</w:t>
      </w:r>
      <w:r>
        <w:rPr>
          <w:rFonts w:ascii="宋体" w:eastAsia="宋体" w:hAnsi="宋体" w:cs="宋体" w:hint="default"/>
          <w:color w:val="000000"/>
        </w:rPr>
        <w:t>条例明确司法行政部门对商事调解组织的设立审批、名册编制和日常监督管理，规定商事调解组织的非营利属性、最低资产规模、调解员人数等设立条件以及变更、注销程序。对商事调解员的任职条件、回避与保密义务、禁止虚假调解等作出具体要求，强调建立业务管理、利益冲突审查和投诉处理制度。条例确认商事调解协议的法律约束力，允许申请司法确认和境外执行，鼓励采用在线调解和运用人工智能、大数据技术，并就境内外商事调解组织在自由贸易试验区、海南自由贸易港及粤港澳大湾区的机构设立、规则衔接和跨境合作等作出制度安排，同时设置对擅自以商事调解组织名义活动、违规承揽业务、泄露秘密及虚假调解等行为的行政处罚。</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bCs/>
          <w:color w:val="000000"/>
        </w:rPr>
        <w:t>3.2025</w:t>
      </w:r>
      <w:r>
        <w:rPr>
          <w:rFonts w:ascii="宋体" w:eastAsia="宋体" w:hAnsi="宋体" w:cs="宋体"/>
          <w:b/>
          <w:color w:val="000000"/>
        </w:rPr>
        <w:t>年10月16日，中国证监会发布《上市公司治理准则》（自2026年1月1日起施行）。</w:t>
      </w:r>
    </w:p>
    <w:p w:rsidR="0055051F" w:rsidRDefault="00000000">
      <w:pPr>
        <w:pStyle w:val="null5"/>
        <w:spacing w:line="480" w:lineRule="exact"/>
        <w:ind w:firstLineChars="200" w:firstLine="482"/>
        <w:rPr>
          <w:rFonts w:ascii="宋体" w:eastAsia="宋体" w:hAnsi="宋体" w:cs="宋体" w:hint="default"/>
          <w:b/>
          <w:bCs/>
        </w:rPr>
      </w:pPr>
      <w:r>
        <w:rPr>
          <w:rFonts w:ascii="宋体" w:eastAsia="宋体" w:hAnsi="宋体" w:cs="宋体"/>
          <w:b/>
          <w:bCs/>
          <w:color w:val="000000"/>
        </w:rPr>
        <w:t>要点提示：</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为贯彻落实《国务院关于加强监管防范风险推动资本市场高质量发展的若干意见》《中共中央办公厅国务院办公厅关于完善中国特色现代企业制度的意见》，进一步规范上市公司董事、高级管理人员和控股股东、实际控制人行为，推动提升上市公司治理水平，中国证监会对《上市公司治理准则》（以下简称《治理准则》）进行修订。</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修订重点如下：</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一）完善董事、高级管理人员任职、履职和离职管理制度。一是明确董事、高级管理人员的任职资格以及董事会提名委员会的审核责任，防范不适格主体任职。二是细化董事、高级管理人员的忠实勤勉义务。强化董事、高级管理人员从事同业竞争、利用</w:t>
      </w:r>
      <w:r>
        <w:rPr>
          <w:rFonts w:ascii="宋体" w:eastAsia="宋体" w:hAnsi="宋体" w:cs="宋体"/>
          <w:color w:val="000000"/>
        </w:rPr>
        <w:lastRenderedPageBreak/>
        <w:t>公司商业机会等行为的披露要求，要求董事作出决策前充分收集信息、谨慎判断。三是强化对董事、高管离职的管理，要求上市公司在聘任董事、高级管理人员时对离职后的追责追偿做出安排，在董事、高级管理人员离职时对其未尽义务做好审查。</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二）健全上市公司激励约束机制。一是要求上市公司建立薪酬管理制度，合理确定董事、高级管理人员的薪酬结构和水平。二是规定董事、高级管理人员薪酬与公司经营业绩、个人业绩相匹配，激励董事、高级管理人员积极为公司创造价值。三是完善董事、高级管理人员薪酬止付追索等支付机制，鼓励建立递延支付机制。</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三）规范控股股东、实际控制人行为。一是严格限制可能对上市公司产生重大不利影响的同业竞争，强化对非重大不利影响同业竞争的披露要求，增强透明度。二是进一步完善董事会对关联交易的识别、审议要求。</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四）做好与现行规则的衔接。根据《证券法》完善公开征集股东权利的规定；根据《上市公司独立董事管理办法》，完善董事会提名委员会、薪酬与考核委员会职责等规定；根据《上市公司信息披露管理办法》，完善自愿性信息披露、发布可持续发展报告等规定。</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4.2026年1月6日，市场监管总局发布《关于印发经营主体登记文书规范和提交材料规范（2026年版）的通知》（自2026年1月6日起施行）。</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要点提示：</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为贯彻落实《公司法》《市场主体登记管理条例》等法律法规，持续推进经营主体登记标准化、规范化，提升经营主体登记质量，市场监管总局对《市场主体登记文书规范》《市场主体登记提交材料规范》进行了修订，形成了《经营主体登记文书规范（2026年版）》《经营主体登记提交材料规范（2026年版）》（以下简称《文书规范》《材料规范》）。</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修订重点如下：</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一）落实新修订《公司法》等相关要求。针对《公司法》关于调整注册资本认缴期限、完善公司治理要求的有关规定，在《文书规范》中增加采集股东出资期限信息，在《材料规范》中补充完善因股东失权办理注册资本变更登记、因弥补亏损减少注册资本变更登记等登记业务材料。落实《公司登记管理实施办法》《个体工商户登记管理规定》等要求，完善对登记联络员的信息管理，明确个体工商户、个人独资企业转型登记提交材料。</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lastRenderedPageBreak/>
        <w:t>（二）进一步规范实名登记确认程序。规范申请人实名登记确认工作要求，在《文书规范》中增加实名登记确认表格，记录申请人确认身份和登记业务关联性、一致性的情况，进一步防范虚假冒名登记行为。加强个人敏感信息保护，在登记文书中将身份证件号码、住所、移动电话等信息单独列页。</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三）优化经营主体迁移登记程序。根据《经营主体登记档案管理办法》，修改完善经营主体迁移申请书，明确经营主体向迁入地登记机关申请办理变更登记、迁入登记档案，无需在迁出地重复提出申请。由迁入地向迁出地登记机关发送调档函，不再由经营主体往返办理调档手续。在迁移环节增加变更登记内容，方便经营主体办理业务。</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四）加强对中介代理机构和人员的管理。落实《公司登记管理实施办法》《经营主体登记申请及代理行为管理办法》相关规定，在《文书规范》中要求中介机构及人员表明其代理身份，增加对中介机构及人员的信息采集项目，完善信用承诺内容，强化对中介机构及其人员的法律责任告知。</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五）优化线上登记信息存储归档方式。结合各地全程电子化登记系统实际，突出在线登记便捷、高效的特点，强化对电子签名等技术的应用，明确登记机关可以使用更加简明的方式对在线办理登记业务的信息和档案进行存储、归档。</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六）精简登记机关审核文书。简化登记机关审核文书种类样式，将原按照经营主体类型、登记业务类型划分的《企业、农民专业合作社设立登记审核表》《个体工商户变更登记（备案）审核表》《市场主体注销登记审核表》等15类审核文书，整合为《经营主体登记（备案）审核表》，适用于各类经营主体的登记、备案业务。</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5.2025年12月30日，市场监管总局、公安部、人力资源社会保障部、中国人民银行、海关总署、税务总局六部门共同发布《企业注销指引（2025年修订）》。</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要点提示：</w:t>
      </w:r>
    </w:p>
    <w:p w:rsidR="0055051F" w:rsidRDefault="00000000">
      <w:pPr>
        <w:pStyle w:val="null5"/>
        <w:spacing w:line="480" w:lineRule="exact"/>
        <w:ind w:firstLineChars="200" w:firstLine="480"/>
        <w:rPr>
          <w:rFonts w:ascii="宋体" w:eastAsia="宋体" w:hAnsi="宋体" w:cs="宋体" w:hint="default"/>
          <w:color w:val="000000"/>
        </w:rPr>
      </w:pPr>
      <w:r>
        <w:rPr>
          <w:rFonts w:ascii="宋体" w:eastAsia="宋体" w:hAnsi="宋体" w:cs="宋体"/>
          <w:color w:val="000000"/>
        </w:rPr>
        <w:t>该</w:t>
      </w:r>
      <w:r>
        <w:rPr>
          <w:rFonts w:ascii="宋体" w:eastAsia="宋体" w:hAnsi="宋体" w:cs="宋体" w:hint="default"/>
          <w:color w:val="000000"/>
        </w:rPr>
        <w:t>指引系统梳理了企业退出市场的基本程序，包括决议解散、清算分配和注销登记。文件明确企业注销事由、清算组成立及职责、债权人公告流程、资产清理与分配、清算报告制作等环节。指引细化普通注销与简易注销流程，规定税务、社保、海关、银行等多部门协同办理“一件事”注销业务。针对股东失联、无法清算、证照遗失、分支机构未注销等特殊情形，提供具体操作指引。文件强化清算组成员、股东、登记代理人等法律责任，明确虚假材料、隐瞒事实、恶意注销等违法行为的处罚措施。企业注销前须依法清算税务、社保、债务等事项，保障债权人、职工及公共利益。</w:t>
      </w:r>
    </w:p>
    <w:p w:rsidR="0055051F" w:rsidRDefault="00000000">
      <w:pPr>
        <w:pStyle w:val="null5"/>
        <w:spacing w:line="480" w:lineRule="exact"/>
        <w:ind w:firstLineChars="200" w:firstLine="562"/>
        <w:outlineLvl w:val="0"/>
        <w:rPr>
          <w:rFonts w:ascii="宋体" w:eastAsia="宋体" w:hAnsi="宋体" w:cs="黑体" w:hint="default"/>
          <w:b/>
          <w:bCs/>
          <w:color w:val="FFFFFF"/>
          <w:kern w:val="2"/>
          <w:sz w:val="28"/>
          <w:szCs w:val="28"/>
          <w:highlight w:val="blue"/>
        </w:rPr>
      </w:pPr>
      <w:r>
        <w:rPr>
          <w:rFonts w:ascii="宋体" w:eastAsia="宋体" w:hAnsi="宋体" w:cs="黑体"/>
          <w:b/>
          <w:bCs/>
          <w:color w:val="FFFFFF"/>
          <w:kern w:val="2"/>
          <w:sz w:val="28"/>
          <w:szCs w:val="28"/>
          <w:highlight w:val="blue"/>
        </w:rPr>
        <w:lastRenderedPageBreak/>
        <w:t>二、典型示范案例解析</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案例1：林方清诉常熟市凯莱实业有限公司、戴小明公司解散纠纷案</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案号：（2006)苏中民二初字第0277号，(2010)苏商终字第0043号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凯莱公司的经营管理是否发生严重困难。</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公司法第一百八十三条将“公司经营管理发生严重困难”作为股东提起解散公司之诉的条件之一。判断“公司经营管理是否发生严重困难”，应从公司组织机构的运行状态进行综合分析。公司虽处于盈利状态，但其股东会机制长期失灵，内部管理有严重障碍，已陷入僵局状态，可以认定为公司经营管理发生严重困难。对于符合公司法及相关司法解释规定的其他条件的，人民法院可以依法判决公司解散。</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案例2：李建军诉上海佳动力环保科技有限公司公司决议撤销纠纷案</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案号：(2010)沪二中民四(商)终字第436号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佳动力公司董事会决议是否应当撤销。</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人民法院在审理公司决议撤销纠纷案件中应当审查：会议召集程序、表决方式是否违反法律、行政法规或者公司章程，以及决议内容是否违反公司章程。在未违反上述规定的前提下，解聘总经理职务的决议所依据的事实是否属实，理由是否成立，不属于司法审查范围。</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首先，公司法尊重公司自治，公司内部法律关系原则上由公司自治机制调整，司法机关原则上不介入公司内部事务；其次，佳动力公司的章程中未对董事会解聘公司经理的职权作出限制，并未规定董事会解聘公司经理必须要有一定原因，该章程内容未违反公司法的强制性规定，应认定有效，因此佳动力公司董事会可以行使公司章程赋予的权力作出解聘公司经理的决定。故法院应当尊重公司自治，无需审查佳动力公司董事会解聘公司经理的原因是否存在，即无需审查决议所依据的事实是否属实，理由是否成立。综上，原告李建军请求撤销董事会决议的诉讼请求不成立，依法予以驳回。</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案例3：汤长龙诉周士海股权转让纠纷案</w:t>
      </w:r>
    </w:p>
    <w:p w:rsidR="0055051F" w:rsidRDefault="00000000">
      <w:pPr>
        <w:pStyle w:val="null5"/>
        <w:spacing w:line="480" w:lineRule="exact"/>
        <w:ind w:firstLineChars="200" w:firstLine="482"/>
        <w:rPr>
          <w:rFonts w:ascii="宋体" w:eastAsia="宋体" w:hAnsi="宋体" w:cs="宋体" w:hint="default"/>
          <w:b/>
          <w:bCs/>
          <w:color w:val="000000"/>
        </w:rPr>
      </w:pPr>
      <w:r>
        <w:rPr>
          <w:rFonts w:ascii="宋体" w:eastAsia="宋体" w:hAnsi="宋体" w:cs="宋体"/>
          <w:b/>
          <w:bCs/>
          <w:color w:val="000000"/>
        </w:rPr>
        <w:t>案号：(2015)民申字第2532号</w:t>
      </w:r>
    </w:p>
    <w:p w:rsidR="0055051F"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lastRenderedPageBreak/>
        <w:t>争议焦点：</w:t>
      </w:r>
      <w:r>
        <w:rPr>
          <w:rFonts w:ascii="宋体" w:eastAsia="宋体" w:hAnsi="宋体" w:cs="宋体"/>
          <w:bCs/>
          <w:color w:val="000000"/>
        </w:rPr>
        <w:t>周士海是否享有《中华人民共和国合同法》（以下简称《合同法》）第一百六十七条规定的合同解除权。</w:t>
      </w:r>
    </w:p>
    <w:p w:rsidR="0055051F"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t>裁判要旨：</w:t>
      </w:r>
      <w:r>
        <w:rPr>
          <w:rFonts w:ascii="宋体" w:eastAsia="宋体" w:hAnsi="宋体" w:cs="宋体"/>
          <w:bCs/>
          <w:color w:val="000000"/>
        </w:rPr>
        <w:t>有限责任公司的股权分期支付转让款中发生股权受让人延迟或者拒付等违约情形，股权转让人要求解除双方签订的股权转让合同的，不适用《中华人民共和国合同法》第一百六十七条关于分期付款买卖中出卖人在买受人未支付到期价款的金额达到合同全部价款的五分之一时即可解除合同的规定。</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案例4：王某月诉薛某亮清算责任纠纷案（入库编号2025-08-2-284-001）</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案号：(2024)京0106民初3698号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薛某亮行为的性质认定以及其应承担何种民事法律责任。</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薛某亮虽辩称其仅是为刘某提供负债转让的相关服务，但其事实上系滥用公司登记便利化手段协助相关主体逃避债务，该行为侵害了消费者合法权益，扰乱正常的市场管理秩序；且薛某亮在变更为北京某健康管理公司法定代表人及唯一股东后，在未履行清算义务的情况下向市场监督管理局提交虚假的债权债务已全部清理完毕的《清算报告》，骗取登记机关注销公司，薛某亮应对其行为承担相应的法律责任。</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 xml:space="preserve">“职业闭店人”以帮助经营者逃避公司债务为目的，受让公司股权成为公司股东，后以虚假的清算报告骗取公司登记机关办理法人注销登记，致使债权人债权无法受偿，债权人主张该“职业闭店人”承担相应民事赔偿责任的，人民法院应予支持。   </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案例5：天津市某钢铁炉料贸易有限公司诉某冶金集团轧三金属材料科技有限公司、某冶金集团（控股）有限公司股东损害公司债权人利益责任案（入库编号2025-08-2-277-001）</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案号：（2022）津02民终7656号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被追加的股东为公司的，申请执行人是否有权在执行中申请追加该公司股东的股东为被执行人。</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作为被执行人的公司，财产不足以清偿生效法律文书确定的债务，经申请执行人申请，法院可以追加未缴纳或未足额缴纳出资的股东在尚未缴纳出资的范围内依法承担责</w:t>
      </w:r>
      <w:r>
        <w:rPr>
          <w:rFonts w:ascii="宋体" w:eastAsia="宋体" w:hAnsi="宋体" w:cs="宋体"/>
          <w:bCs/>
          <w:color w:val="000000"/>
        </w:rPr>
        <w:lastRenderedPageBreak/>
        <w:t>任。被追加的股东为公司的，由于该公司的股东不是生效法律文书确定的债务人，申请执行人无权在执行中申请追加该公司股东的股东为被执行人。</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案例6：汤某诉北京某新型材料技术有限公司请求变更公司登记纠纷案（入库编号2025-08-2-264-001）</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案号：（2022）京02民初176号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1.汤某是否有权提起变更公司登记之诉；</w:t>
      </w:r>
    </w:p>
    <w:p w:rsidR="0055051F" w:rsidRDefault="00000000">
      <w:pPr>
        <w:pStyle w:val="null5"/>
        <w:spacing w:line="480" w:lineRule="exact"/>
        <w:ind w:firstLineChars="200" w:firstLine="480"/>
        <w:rPr>
          <w:rFonts w:ascii="宋体" w:eastAsia="宋体" w:hAnsi="宋体" w:cs="宋体" w:hint="default"/>
          <w:b/>
          <w:color w:val="000000"/>
        </w:rPr>
      </w:pPr>
      <w:r>
        <w:rPr>
          <w:rFonts w:ascii="宋体" w:eastAsia="宋体" w:hAnsi="宋体" w:cs="宋体"/>
          <w:bCs/>
          <w:color w:val="000000"/>
        </w:rPr>
        <w:t>2.应否判决北京某材料公司办理变更监事备案登记。</w:t>
      </w:r>
      <w:r>
        <w:rPr>
          <w:rFonts w:ascii="宋体" w:eastAsia="宋体" w:hAnsi="宋体" w:cs="宋体"/>
          <w:bCs/>
          <w:color w:val="000000"/>
        </w:rPr>
        <w:br/>
        <w:t xml:space="preserve">   </w:t>
      </w:r>
      <w:r>
        <w:rPr>
          <w:rFonts w:ascii="宋体" w:eastAsia="宋体" w:hAnsi="宋体" w:cs="宋体"/>
          <w:b/>
          <w:color w:val="000000"/>
        </w:rPr>
        <w:t xml:space="preserve"> 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对于公司监事请求涤除监事工商备案登记的，人民法院应当综合考量监事接受委任时与公司形成的法律关系、双方是否存在实质性的利益关联、监事辞去职务是否存在恶意、公司未变更备案登记是否存在除内部程序外的其他障碍等因素进行判定。公司被判决涤除监事工商登记后，未及时选任新的监事导致登记事项空缺的，相应后果应当由公司自行承担。</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案例7：广州某甲网络科技有限公司诉罗某峰、周某磊清算责任纠纷案（入库编号2025-01-2-284-001）</w:t>
      </w:r>
    </w:p>
    <w:p w:rsidR="0055051F" w:rsidRDefault="00000000">
      <w:pPr>
        <w:pStyle w:val="null5"/>
        <w:spacing w:line="480" w:lineRule="exact"/>
        <w:ind w:firstLineChars="200" w:firstLine="482"/>
        <w:rPr>
          <w:rFonts w:ascii="宋体" w:eastAsia="宋体" w:hAnsi="宋体" w:cs="宋体" w:hint="default"/>
          <w:bCs/>
          <w:color w:val="000000"/>
        </w:rPr>
      </w:pPr>
      <w:r>
        <w:rPr>
          <w:rFonts w:ascii="宋体" w:eastAsia="宋体" w:hAnsi="宋体" w:cs="宋体"/>
          <w:b/>
          <w:color w:val="000000"/>
        </w:rPr>
        <w:t>案号：（2024）川民辖55号</w:t>
      </w:r>
      <w:r>
        <w:rPr>
          <w:rFonts w:ascii="宋体" w:eastAsia="宋体" w:hAnsi="宋体" w:cs="宋体"/>
          <w:bCs/>
          <w:color w:val="000000"/>
        </w:rPr>
        <w:t xml:space="preserve">    </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
          <w:color w:val="000000"/>
        </w:rPr>
      </w:pPr>
      <w:r>
        <w:rPr>
          <w:rFonts w:ascii="宋体" w:eastAsia="宋体" w:hAnsi="宋体" w:cs="宋体"/>
          <w:bCs/>
          <w:color w:val="000000"/>
        </w:rPr>
        <w:t>民事清算责任股东侵权纠纷约定管辖。</w:t>
      </w:r>
      <w:r>
        <w:rPr>
          <w:rFonts w:ascii="宋体" w:eastAsia="宋体" w:hAnsi="宋体" w:cs="宋体"/>
          <w:bCs/>
          <w:color w:val="000000"/>
        </w:rPr>
        <w:br/>
        <w:t xml:space="preserve">  </w:t>
      </w:r>
      <w:r>
        <w:rPr>
          <w:rFonts w:ascii="宋体" w:eastAsia="宋体" w:hAnsi="宋体" w:cs="宋体"/>
          <w:b/>
          <w:color w:val="000000"/>
        </w:rPr>
        <w:t xml:space="preserve">  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原告因追索公司所欠债务单独起诉公司股东要求承担清算责任的，应为清算责任纠纷，属于侵权责任纠纷的范畴，应当根据民事诉讼法关于侵权纠纷确定管辖的规定，由侵权行为地或被告住所地人民法院管辖。原告与案涉公司签订的合同中有关解决债务纠纷的管辖约定，不能用以确定清算责任的管辖法院。</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案例8：徐某骥诉上海某物业管理有限公司等公司解散纠纷案（入库编号</w:t>
      </w:r>
    </w:p>
    <w:p w:rsidR="0055051F" w:rsidRDefault="00000000">
      <w:pPr>
        <w:pStyle w:val="null5"/>
        <w:spacing w:line="480" w:lineRule="exact"/>
        <w:rPr>
          <w:rFonts w:ascii="宋体" w:eastAsia="宋体" w:hAnsi="宋体" w:cs="宋体" w:hint="default"/>
          <w:b/>
          <w:color w:val="000000"/>
        </w:rPr>
      </w:pPr>
      <w:r>
        <w:rPr>
          <w:rFonts w:ascii="宋体" w:eastAsia="宋体" w:hAnsi="宋体" w:cs="宋体"/>
          <w:b/>
          <w:color w:val="000000"/>
        </w:rPr>
        <w:t>2025-08-2-283-001）</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案号：（2022）沪0105民初21387号</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争议焦点：</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lastRenderedPageBreak/>
        <w:t>原告作为被告上海某物业管理有限公司的股东，持有39.54%的股份，可以提起请求解散公司的起诉。本案争议焦点在于被告上海某物业管理有限公司是否符合法律规定的解散条件。</w:t>
      </w:r>
    </w:p>
    <w:p w:rsidR="0055051F" w:rsidRDefault="00000000">
      <w:pPr>
        <w:pStyle w:val="null5"/>
        <w:spacing w:line="480" w:lineRule="exact"/>
        <w:ind w:firstLineChars="200" w:firstLine="482"/>
        <w:rPr>
          <w:rFonts w:ascii="宋体" w:eastAsia="宋体" w:hAnsi="宋体" w:cs="宋体" w:hint="default"/>
          <w:b/>
          <w:color w:val="000000"/>
        </w:rPr>
      </w:pPr>
      <w:r>
        <w:rPr>
          <w:rFonts w:ascii="宋体" w:eastAsia="宋体" w:hAnsi="宋体" w:cs="宋体"/>
          <w:b/>
          <w:color w:val="000000"/>
        </w:rPr>
        <w:t>裁判要旨：</w:t>
      </w:r>
    </w:p>
    <w:p w:rsidR="0055051F" w:rsidRDefault="00000000">
      <w:pPr>
        <w:pStyle w:val="null5"/>
        <w:spacing w:line="480" w:lineRule="exact"/>
        <w:ind w:firstLineChars="200" w:firstLine="480"/>
        <w:rPr>
          <w:rFonts w:ascii="宋体" w:eastAsia="宋体" w:hAnsi="宋体" w:cs="宋体" w:hint="default"/>
          <w:bCs/>
          <w:color w:val="000000"/>
        </w:rPr>
      </w:pPr>
      <w:r>
        <w:rPr>
          <w:rFonts w:ascii="宋体" w:eastAsia="宋体" w:hAnsi="宋体" w:cs="宋体"/>
          <w:bCs/>
          <w:color w:val="000000"/>
        </w:rPr>
        <w:t>公司解散纠纷是股东在穷尽公司自治或其他途径，均不能解决公司僵局状况下的救济途径。而公司经营管理是否发生困难、是否已经存在公司僵局是判断公司应否解散的重要标准。实践中，应当审慎适用公司解散这一使企业退出市场的救济途径。对于公司运营良好，自我调整机制未失灵，不存在公司存续会使股东利益受到重大损害情形的，不能认定公司经营管理发生困难或存在公司僵局，不应当判令解散公司。</w:t>
      </w:r>
    </w:p>
    <w:sectPr w:rsidR="0055051F">
      <w:footerReference w:type="default" r:id="rId7"/>
      <w:pgSz w:w="11906" w:h="16838"/>
      <w:pgMar w:top="1440" w:right="1361" w:bottom="1134" w:left="1361"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8625D" w:rsidRDefault="0038625D">
      <w:r>
        <w:separator/>
      </w:r>
    </w:p>
  </w:endnote>
  <w:endnote w:type="continuationSeparator" w:id="0">
    <w:p w:rsidR="0038625D" w:rsidRDefault="00386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7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_GB2312">
    <w:altName w:val="仿宋"/>
    <w:panose1 w:val="020B0604020202020204"/>
    <w:charset w:val="00"/>
    <w:family w:val="auto"/>
    <w:pitch w:val="default"/>
  </w:font>
  <w:font w:name="等线">
    <w:altName w:val="DengXian"/>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5051F" w:rsidRDefault="00000000">
    <w:pPr>
      <w:pStyle w:val="a3"/>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5051F" w:rsidRDefault="00000000">
                          <w:pPr>
                            <w:pStyle w:val="a3"/>
                          </w:pPr>
                          <w:r>
                            <w:fldChar w:fldCharType="begin"/>
                          </w:r>
                          <w:r>
                            <w:rPr>
                              <w:rFonts w:ascii="仿宋_GB2312" w:eastAsia="仿宋_GB2312" w:hAnsi="仿宋_GB2312" w:cs="仿宋_GB2312"/>
                            </w:rPr>
                            <w:instrText xml:space="preserve"> PAGE  \* MERGEFORMAT </w:instrText>
                          </w:r>
                          <w:r>
                            <w:fldChar w:fldCharType="separate"/>
                          </w:r>
                          <w:r>
                            <w:rPr>
                              <w:rFonts w:ascii="仿宋_GB2312" w:eastAsia="仿宋_GB2312" w:hAnsi="仿宋_GB2312" w:cs="仿宋_GB2312"/>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xmlns:wpsCustomData="http://www.wps.cn/officeDocument/2013/wpsCustomData">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43AA9362">
                    <w:pPr>
                      <w:pStyle w:val="3"/>
                    </w:pPr>
                    <w:r>
                      <w:fldChar w:fldCharType="begin"/>
                    </w:r>
                    <w:r>
                      <w:rPr>
                        <w:rFonts w:ascii="仿宋_GB2312" w:hAnsi="仿宋_GB2312" w:eastAsia="仿宋_GB2312" w:cs="仿宋_GB2312"/>
                      </w:rPr>
                      <w:instrText xml:space="preserve"> PAGE  \* MERGEFORMAT </w:instrText>
                    </w:r>
                    <w:r>
                      <w:fldChar w:fldCharType="separate"/>
                    </w:r>
                    <w:r>
                      <w:rPr>
                        <w:rFonts w:ascii="仿宋_GB2312" w:hAnsi="仿宋_GB2312" w:eastAsia="仿宋_GB2312" w:cs="仿宋_GB2312"/>
                      </w:rPr>
                      <w:t>1</w:t>
                    </w:r>
                    <w:r>
                      <w:fldChar w:fldCharType="end"/>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8625D" w:rsidRDefault="0038625D">
      <w:r>
        <w:separator/>
      </w:r>
    </w:p>
  </w:footnote>
  <w:footnote w:type="continuationSeparator" w:id="0">
    <w:p w:rsidR="0038625D" w:rsidRDefault="0038625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BFE5A6FE"/>
    <w:rsid w:val="BFE5A6FE"/>
    <w:rsid w:val="FC5F10FF"/>
    <w:rsid w:val="FFEA56FF"/>
    <w:rsid w:val="0038625D"/>
    <w:rsid w:val="0055051F"/>
    <w:rsid w:val="006A17D4"/>
    <w:rsid w:val="04D85410"/>
    <w:rsid w:val="05831998"/>
    <w:rsid w:val="0BB27F3E"/>
    <w:rsid w:val="0C3F0E27"/>
    <w:rsid w:val="0CE473B7"/>
    <w:rsid w:val="10D26327"/>
    <w:rsid w:val="1106587D"/>
    <w:rsid w:val="11A16A45"/>
    <w:rsid w:val="128C0D9A"/>
    <w:rsid w:val="14700951"/>
    <w:rsid w:val="165B2E3B"/>
    <w:rsid w:val="165C08BD"/>
    <w:rsid w:val="168B5B89"/>
    <w:rsid w:val="168E458F"/>
    <w:rsid w:val="16F577B6"/>
    <w:rsid w:val="17485BB5"/>
    <w:rsid w:val="175B6261"/>
    <w:rsid w:val="184A22E6"/>
    <w:rsid w:val="1A0D0430"/>
    <w:rsid w:val="1ACD7E07"/>
    <w:rsid w:val="1C895B5E"/>
    <w:rsid w:val="1DDA54BE"/>
    <w:rsid w:val="1E64416A"/>
    <w:rsid w:val="1F240CB5"/>
    <w:rsid w:val="1FE62FE2"/>
    <w:rsid w:val="20B501B7"/>
    <w:rsid w:val="20F7705B"/>
    <w:rsid w:val="21E94D31"/>
    <w:rsid w:val="23066402"/>
    <w:rsid w:val="24D14774"/>
    <w:rsid w:val="24D569FD"/>
    <w:rsid w:val="253112AD"/>
    <w:rsid w:val="272A0E33"/>
    <w:rsid w:val="28A40771"/>
    <w:rsid w:val="29325D7D"/>
    <w:rsid w:val="2BD23073"/>
    <w:rsid w:val="2DA23F11"/>
    <w:rsid w:val="300B49E1"/>
    <w:rsid w:val="349E1EE2"/>
    <w:rsid w:val="36E6529F"/>
    <w:rsid w:val="386D1C23"/>
    <w:rsid w:val="38E505E8"/>
    <w:rsid w:val="39C678D5"/>
    <w:rsid w:val="3B5B576D"/>
    <w:rsid w:val="3E647289"/>
    <w:rsid w:val="3FEF1D74"/>
    <w:rsid w:val="408E2B77"/>
    <w:rsid w:val="40FD2E2B"/>
    <w:rsid w:val="412A3270"/>
    <w:rsid w:val="43DF55E6"/>
    <w:rsid w:val="49C97A9C"/>
    <w:rsid w:val="4C241E79"/>
    <w:rsid w:val="4D950A56"/>
    <w:rsid w:val="4F5706B7"/>
    <w:rsid w:val="4F824D7E"/>
    <w:rsid w:val="5126542F"/>
    <w:rsid w:val="51465964"/>
    <w:rsid w:val="52141834"/>
    <w:rsid w:val="52A90E2E"/>
    <w:rsid w:val="52F7312C"/>
    <w:rsid w:val="54AB1879"/>
    <w:rsid w:val="56A33BB2"/>
    <w:rsid w:val="58032874"/>
    <w:rsid w:val="5A392494"/>
    <w:rsid w:val="5B467D5E"/>
    <w:rsid w:val="5B706E5A"/>
    <w:rsid w:val="5C93136F"/>
    <w:rsid w:val="5CF01708"/>
    <w:rsid w:val="5EB00496"/>
    <w:rsid w:val="5EEB250F"/>
    <w:rsid w:val="5F546567"/>
    <w:rsid w:val="5FAA42E4"/>
    <w:rsid w:val="5FCEC721"/>
    <w:rsid w:val="60094AF5"/>
    <w:rsid w:val="6131633F"/>
    <w:rsid w:val="62F66AEA"/>
    <w:rsid w:val="62F97A6F"/>
    <w:rsid w:val="630F7A14"/>
    <w:rsid w:val="65254B81"/>
    <w:rsid w:val="654F59C5"/>
    <w:rsid w:val="67065791"/>
    <w:rsid w:val="68212FE3"/>
    <w:rsid w:val="69D74EB4"/>
    <w:rsid w:val="6ABFE269"/>
    <w:rsid w:val="6BBE72F4"/>
    <w:rsid w:val="6BFF573D"/>
    <w:rsid w:val="6D0921C2"/>
    <w:rsid w:val="6D490077"/>
    <w:rsid w:val="6E095813"/>
    <w:rsid w:val="6F2317E3"/>
    <w:rsid w:val="6FCE1C7C"/>
    <w:rsid w:val="70F961C1"/>
    <w:rsid w:val="735C0F53"/>
    <w:rsid w:val="73EF26C0"/>
    <w:rsid w:val="7506570B"/>
    <w:rsid w:val="75427AEF"/>
    <w:rsid w:val="76C26CE6"/>
    <w:rsid w:val="77380EA3"/>
    <w:rsid w:val="79641838"/>
    <w:rsid w:val="7A3E07D4"/>
    <w:rsid w:val="7B016CDB"/>
    <w:rsid w:val="7B652283"/>
    <w:rsid w:val="7E3855A4"/>
    <w:rsid w:val="7E921135"/>
    <w:rsid w:val="7F3C3046"/>
    <w:rsid w:val="7FDD36D6"/>
    <w:rsid w:val="95FF2D85"/>
    <w:rsid w:val="BFE5A6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4:docId w14:val="4E590C51"/>
  <w15:docId w15:val="{CD5A7E27-2113-6A4F-8AAE-EDD75ABF5A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sz w:val="21"/>
      <w:szCs w:val="22"/>
      <w:lang w:eastAsia="en-US"/>
    </w:rPr>
  </w:style>
  <w:style w:type="paragraph" w:styleId="3">
    <w:name w:val="heading 3"/>
    <w:basedOn w:val="a"/>
    <w:next w:val="a"/>
    <w:semiHidden/>
    <w:unhideWhenUsed/>
    <w:qFormat/>
    <w:pPr>
      <w:spacing w:beforeAutospacing="1" w:afterAutospacing="1"/>
      <w:jc w:val="left"/>
      <w:outlineLvl w:val="2"/>
    </w:pPr>
    <w:rPr>
      <w:rFonts w:ascii="宋体" w:hAnsi="宋体" w:hint="eastAsia"/>
      <w:b/>
      <w:bCs/>
      <w:sz w:val="27"/>
      <w:szCs w:val="27"/>
      <w:lang w:eastAsia="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5">
    <w:name w:val="Normal (Web)"/>
    <w:basedOn w:val="a"/>
    <w:qFormat/>
    <w:pPr>
      <w:spacing w:beforeAutospacing="1" w:afterAutospacing="1"/>
      <w:jc w:val="left"/>
    </w:pPr>
    <w:rPr>
      <w:sz w:val="24"/>
      <w:lang w:eastAsia="zh-CN"/>
    </w:rPr>
  </w:style>
  <w:style w:type="character" w:styleId="a6">
    <w:name w:val="Strong"/>
    <w:basedOn w:val="a0"/>
    <w:qFormat/>
    <w:rPr>
      <w:b/>
    </w:rPr>
  </w:style>
  <w:style w:type="paragraph" w:customStyle="1" w:styleId="null5">
    <w:name w:val="null5"/>
    <w:hidden/>
    <w:qFormat/>
    <w:rPr>
      <w:rFonts w:ascii="仿宋_GB2312" w:eastAsia="仿宋_GB2312" w:hAnsi="仿宋_GB2312" w:cs="仿宋_GB2312" w:hint="eastAsia"/>
      <w:sz w:val="24"/>
      <w:szCs w:val="24"/>
    </w:rPr>
  </w:style>
  <w:style w:type="paragraph" w:customStyle="1" w:styleId="1">
    <w:name w:val="列表段落1"/>
    <w:uiPriority w:val="34"/>
    <w:qFormat/>
    <w:pPr>
      <w:widowControl w:val="0"/>
      <w:ind w:left="720"/>
      <w:contextualSpacing/>
      <w:jc w:val="both"/>
    </w:pPr>
    <w:rPr>
      <w:rFonts w:ascii="等线" w:eastAsia="等线" w:hAnsi="等线" w:cs="黑体"/>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47</TotalTime>
  <Pages>9</Pages>
  <Words>961</Words>
  <Characters>5480</Characters>
  <Application>Microsoft Office Word</Application>
  <DocSecurity>0</DocSecurity>
  <Lines>45</Lines>
  <Paragraphs>12</Paragraphs>
  <ScaleCrop>false</ScaleCrop>
  <Company/>
  <LinksUpToDate>false</LinksUpToDate>
  <CharactersWithSpaces>6429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icou</dc:creator>
  <cp:lastModifiedBy>zk123</cp:lastModifiedBy>
  <cp:revision>2</cp:revision>
  <dcterms:created xsi:type="dcterms:W3CDTF">2025-08-17T02:02:00Z</dcterms:created>
  <dcterms:modified xsi:type="dcterms:W3CDTF">2026-03-31T04:21:00Z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EC69CDB9E0144C21AEB2D9BC0CE1009E_13</vt:lpwstr>
  </property>
  <property fmtid="{D5CDD505-2E9C-101B-9397-08002B2CF9AE}" pid="3" name="KSOProductBuildVer">
    <vt:lpwstr>2052-12.1.0.25225</vt:lpwstr>
  </property>
  <property fmtid="{D5CDD505-2E9C-101B-9397-08002B2CF9AE}" pid="4" name="KSOTemplateDocerSaveRecord">
    <vt:lpwstr>eyJoZGlkIjoiMjdhOTZjZGNkYmNiMjkwMjdlNDY3OWNlYWM1OWQ0NTAiLCJ1c2VySWQiOiIzMjUwNjYwMjIifQ==</vt:lpwstr>
  </property>
</Properties>
</file>