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460A0" w:rsidRDefault="00000000">
      <w:pPr>
        <w:pStyle w:val="null5"/>
        <w:rPr>
          <w:rFonts w:hint="default"/>
        </w:rPr>
      </w:pPr>
      <w:r>
        <w:t xml:space="preserve"> </w:t>
      </w:r>
    </w:p>
    <w:p w:rsidR="003460A0" w:rsidRDefault="003460A0">
      <w:pPr>
        <w:pStyle w:val="1"/>
        <w:adjustRightInd w:val="0"/>
        <w:snapToGrid w:val="0"/>
        <w:ind w:left="142"/>
        <w:jc w:val="center"/>
        <w:rPr>
          <w:rFonts w:ascii="黑体" w:eastAsia="黑体" w:hAnsi="黑体"/>
          <w:bCs/>
          <w:color w:val="011893"/>
          <w:sz w:val="52"/>
          <w:szCs w:val="52"/>
        </w:rPr>
      </w:pPr>
    </w:p>
    <w:p w:rsidR="003460A0" w:rsidRDefault="003460A0">
      <w:pPr>
        <w:pStyle w:val="1"/>
        <w:adjustRightInd w:val="0"/>
        <w:snapToGrid w:val="0"/>
        <w:ind w:left="142"/>
        <w:jc w:val="center"/>
        <w:rPr>
          <w:rFonts w:ascii="黑体" w:eastAsia="黑体" w:hAnsi="黑体"/>
          <w:bCs/>
          <w:color w:val="011893"/>
          <w:sz w:val="52"/>
          <w:szCs w:val="52"/>
        </w:rPr>
      </w:pPr>
    </w:p>
    <w:p w:rsidR="003460A0" w:rsidRDefault="003460A0">
      <w:pPr>
        <w:pStyle w:val="1"/>
        <w:adjustRightInd w:val="0"/>
        <w:snapToGrid w:val="0"/>
        <w:ind w:left="142"/>
        <w:jc w:val="center"/>
        <w:rPr>
          <w:rFonts w:ascii="黑体" w:eastAsia="黑体" w:hAnsi="黑体"/>
          <w:bCs/>
          <w:color w:val="011893"/>
          <w:sz w:val="52"/>
          <w:szCs w:val="52"/>
        </w:rPr>
      </w:pPr>
    </w:p>
    <w:p w:rsidR="003460A0" w:rsidRDefault="00000000">
      <w:pPr>
        <w:pStyle w:val="1"/>
        <w:adjustRightInd w:val="0"/>
        <w:snapToGrid w:val="0"/>
        <w:ind w:left="142"/>
        <w:jc w:val="center"/>
        <w:rPr>
          <w:rFonts w:ascii="黑体" w:eastAsia="黑体" w:hAnsi="黑体"/>
          <w:bCs/>
          <w:color w:val="011893"/>
          <w:sz w:val="52"/>
          <w:szCs w:val="52"/>
        </w:rPr>
      </w:pPr>
      <w:r>
        <w:rPr>
          <w:rFonts w:ascii="黑体" w:eastAsia="黑体" w:hAnsi="黑体"/>
          <w:bCs/>
          <w:color w:val="011893"/>
          <w:sz w:val="52"/>
          <w:szCs w:val="52"/>
        </w:rPr>
        <w:t>大连市律师协会公司法律专业委员会</w:t>
      </w:r>
    </w:p>
    <w:p w:rsidR="003460A0" w:rsidRDefault="003460A0">
      <w:pPr>
        <w:adjustRightInd w:val="0"/>
        <w:snapToGrid w:val="0"/>
        <w:ind w:firstLineChars="200" w:firstLine="590"/>
        <w:jc w:val="center"/>
        <w:rPr>
          <w:rFonts w:ascii="黑体" w:eastAsia="黑体" w:hAnsi="黑体" w:cs="黑体"/>
          <w:b/>
          <w:bCs/>
          <w:color w:val="333399"/>
          <w:spacing w:val="-3"/>
          <w:kern w:val="2"/>
          <w:sz w:val="30"/>
          <w:szCs w:val="30"/>
          <w:lang w:eastAsia="zh-CN"/>
        </w:rPr>
      </w:pPr>
    </w:p>
    <w:p w:rsidR="003460A0" w:rsidRDefault="003460A0">
      <w:pPr>
        <w:spacing w:before="98"/>
        <w:ind w:firstLineChars="200" w:firstLine="600"/>
        <w:rPr>
          <w:rFonts w:ascii="黑体" w:eastAsia="黑体" w:hAnsi="黑体" w:cs="黑体"/>
          <w:kern w:val="2"/>
          <w:sz w:val="30"/>
          <w:szCs w:val="30"/>
          <w:lang w:eastAsia="zh-CN"/>
        </w:rPr>
      </w:pPr>
    </w:p>
    <w:p w:rsidR="003460A0" w:rsidRDefault="00000000">
      <w:pPr>
        <w:spacing w:beforeLines="50" w:before="120" w:afterLines="50" w:after="120" w:line="360" w:lineRule="auto"/>
        <w:jc w:val="center"/>
        <w:rPr>
          <w:rFonts w:ascii="宋体" w:hAnsi="宋体" w:cs="黑体"/>
          <w:b/>
          <w:bCs/>
          <w:color w:val="FF0000"/>
          <w:kern w:val="2"/>
          <w:sz w:val="52"/>
          <w:szCs w:val="52"/>
          <w:lang w:eastAsia="zh-CN"/>
        </w:rPr>
      </w:pPr>
      <w:r>
        <w:rPr>
          <w:rFonts w:ascii="宋体" w:hAnsi="宋体" w:cs="黑体" w:hint="eastAsia"/>
          <w:b/>
          <w:bCs/>
          <w:color w:val="FF0000"/>
          <w:kern w:val="2"/>
          <w:sz w:val="52"/>
          <w:szCs w:val="52"/>
          <w:lang w:eastAsia="zh-CN"/>
        </w:rPr>
        <w:t>公司法律信息速递</w:t>
      </w:r>
    </w:p>
    <w:p w:rsidR="003460A0" w:rsidRDefault="003460A0">
      <w:pPr>
        <w:spacing w:beforeLines="50" w:before="120" w:afterLines="50" w:after="120" w:line="360" w:lineRule="auto"/>
        <w:ind w:firstLineChars="200" w:firstLine="602"/>
        <w:jc w:val="center"/>
        <w:rPr>
          <w:rFonts w:ascii="宋体" w:hAnsi="宋体" w:cs="黑体"/>
          <w:b/>
          <w:bCs/>
          <w:color w:val="FF0000"/>
          <w:kern w:val="2"/>
          <w:sz w:val="30"/>
          <w:szCs w:val="30"/>
          <w:lang w:eastAsia="zh-CN"/>
        </w:rPr>
      </w:pPr>
    </w:p>
    <w:p w:rsidR="003460A0" w:rsidRDefault="00000000">
      <w:pPr>
        <w:spacing w:beforeLines="50" w:before="120" w:afterLines="50" w:after="120" w:line="360" w:lineRule="auto"/>
        <w:ind w:firstLineChars="200" w:firstLine="562"/>
        <w:jc w:val="center"/>
        <w:rPr>
          <w:rFonts w:ascii="宋体" w:hAnsi="宋体" w:cs="黑体"/>
          <w:b/>
          <w:bCs/>
          <w:kern w:val="2"/>
          <w:sz w:val="28"/>
          <w:szCs w:val="28"/>
          <w:lang w:eastAsia="zh-CN"/>
        </w:rPr>
      </w:pPr>
      <w:r>
        <w:rPr>
          <w:rFonts w:ascii="宋体" w:hAnsi="宋体" w:cs="黑体" w:hint="eastAsia"/>
          <w:b/>
          <w:bCs/>
          <w:kern w:val="2"/>
          <w:sz w:val="28"/>
          <w:szCs w:val="28"/>
          <w:lang w:eastAsia="zh-CN"/>
        </w:rPr>
        <w:t>2025年第7期</w:t>
      </w:r>
    </w:p>
    <w:p w:rsidR="003460A0" w:rsidRDefault="003460A0">
      <w:pPr>
        <w:spacing w:beforeLines="50" w:before="120" w:afterLines="50" w:after="120" w:line="360" w:lineRule="auto"/>
        <w:ind w:firstLineChars="200" w:firstLine="562"/>
        <w:jc w:val="center"/>
        <w:rPr>
          <w:rFonts w:ascii="宋体" w:hAnsi="宋体" w:cs="黑体"/>
          <w:b/>
          <w:bCs/>
          <w:kern w:val="2"/>
          <w:sz w:val="28"/>
          <w:szCs w:val="28"/>
          <w:lang w:eastAsia="zh-CN"/>
        </w:rPr>
      </w:pPr>
    </w:p>
    <w:p w:rsidR="003460A0" w:rsidRDefault="003460A0">
      <w:pPr>
        <w:spacing w:beforeLines="50" w:before="120" w:afterLines="50" w:after="120" w:line="360" w:lineRule="auto"/>
        <w:ind w:firstLineChars="200" w:firstLine="562"/>
        <w:jc w:val="center"/>
        <w:rPr>
          <w:rFonts w:ascii="宋体" w:hAnsi="宋体" w:cs="黑体"/>
          <w:b/>
          <w:bCs/>
          <w:kern w:val="2"/>
          <w:sz w:val="28"/>
          <w:szCs w:val="28"/>
          <w:lang w:eastAsia="zh-CN"/>
        </w:rPr>
      </w:pPr>
    </w:p>
    <w:p w:rsidR="003460A0" w:rsidRDefault="003460A0">
      <w:pPr>
        <w:spacing w:beforeLines="50" w:before="120" w:afterLines="50" w:after="120" w:line="360" w:lineRule="auto"/>
        <w:ind w:firstLineChars="200" w:firstLine="562"/>
        <w:jc w:val="center"/>
        <w:rPr>
          <w:rFonts w:ascii="宋体" w:hAnsi="宋体" w:cs="黑体"/>
          <w:b/>
          <w:bCs/>
          <w:kern w:val="2"/>
          <w:sz w:val="28"/>
          <w:szCs w:val="28"/>
          <w:lang w:eastAsia="zh-CN"/>
        </w:rPr>
      </w:pPr>
    </w:p>
    <w:p w:rsidR="003460A0" w:rsidRDefault="00000000">
      <w:pPr>
        <w:spacing w:beforeLines="50" w:before="120" w:afterLines="50" w:after="120" w:line="360" w:lineRule="auto"/>
        <w:ind w:firstLineChars="800" w:firstLine="1920"/>
        <w:rPr>
          <w:rFonts w:ascii="宋体" w:hAnsi="宋体" w:cs="黑体"/>
          <w:kern w:val="2"/>
          <w:sz w:val="24"/>
          <w:szCs w:val="24"/>
          <w:lang w:eastAsia="zh-CN"/>
        </w:rPr>
      </w:pPr>
      <w:r>
        <w:rPr>
          <w:rFonts w:ascii="宋体" w:hAnsi="宋体" w:cs="黑体" w:hint="eastAsia"/>
          <w:kern w:val="2"/>
          <w:sz w:val="24"/>
          <w:szCs w:val="24"/>
          <w:lang w:eastAsia="zh-CN"/>
        </w:rPr>
        <w:t>本期编辑：赵欣律师 上海锦坤（大连）律师事务所</w:t>
      </w:r>
    </w:p>
    <w:p w:rsidR="003460A0" w:rsidRDefault="003460A0">
      <w:pPr>
        <w:spacing w:beforeLines="50" w:before="120" w:afterLines="50" w:after="120" w:line="360" w:lineRule="auto"/>
        <w:ind w:firstLineChars="800" w:firstLine="1920"/>
        <w:rPr>
          <w:rFonts w:ascii="宋体" w:hAnsi="宋体" w:cs="黑体"/>
          <w:kern w:val="2"/>
          <w:sz w:val="24"/>
          <w:szCs w:val="24"/>
          <w:lang w:eastAsia="zh-CN"/>
        </w:rPr>
      </w:pPr>
    </w:p>
    <w:p w:rsidR="003460A0" w:rsidRDefault="00000000">
      <w:pPr>
        <w:spacing w:beforeLines="50" w:before="120" w:afterLines="50" w:after="120" w:line="360" w:lineRule="auto"/>
        <w:ind w:firstLineChars="800" w:firstLine="1920"/>
        <w:rPr>
          <w:rFonts w:ascii="宋体" w:hAnsi="宋体" w:cs="黑体"/>
          <w:kern w:val="2"/>
          <w:sz w:val="24"/>
          <w:szCs w:val="24"/>
          <w:lang w:eastAsia="zh-CN"/>
        </w:rPr>
      </w:pPr>
      <w:r>
        <w:rPr>
          <w:rFonts w:ascii="宋体" w:hAnsi="宋体" w:cs="黑体" w:hint="eastAsia"/>
          <w:kern w:val="2"/>
          <w:sz w:val="24"/>
          <w:szCs w:val="24"/>
          <w:lang w:eastAsia="zh-CN"/>
        </w:rPr>
        <w:t>责任编辑：赵莹莹律师 辽宁智库律师事务所</w:t>
      </w:r>
    </w:p>
    <w:p w:rsidR="003460A0" w:rsidRDefault="003460A0">
      <w:pPr>
        <w:pStyle w:val="null5"/>
        <w:spacing w:line="360" w:lineRule="auto"/>
        <w:ind w:firstLineChars="200" w:firstLine="560"/>
        <w:rPr>
          <w:rFonts w:hint="default"/>
          <w:color w:val="000000"/>
          <w:sz w:val="28"/>
        </w:rPr>
      </w:pPr>
    </w:p>
    <w:p w:rsidR="003460A0" w:rsidRDefault="00000000">
      <w:pPr>
        <w:pBdr>
          <w:top w:val="single" w:sz="4" w:space="6" w:color="auto"/>
          <w:left w:val="single" w:sz="4" w:space="4" w:color="auto"/>
          <w:bottom w:val="single" w:sz="4" w:space="1" w:color="auto"/>
          <w:right w:val="single" w:sz="4" w:space="4" w:color="auto"/>
        </w:pBdr>
        <w:spacing w:before="132" w:line="271" w:lineRule="auto"/>
        <w:ind w:right="157" w:firstLineChars="200" w:firstLine="434"/>
        <w:rPr>
          <w:rFonts w:ascii="黑体" w:eastAsia="黑体" w:hAnsi="黑体" w:cs="黑体"/>
          <w:b/>
          <w:bCs/>
          <w:color w:val="011893"/>
          <w:spacing w:val="7"/>
          <w:kern w:val="2"/>
          <w:szCs w:val="24"/>
          <w:lang w:eastAsia="zh-CN"/>
        </w:rPr>
      </w:pPr>
      <w:r>
        <w:rPr>
          <w:rFonts w:ascii="黑体" w:eastAsia="黑体" w:hAnsi="黑体" w:cs="黑体" w:hint="eastAsia"/>
          <w:b/>
          <w:bCs/>
          <w:color w:val="011893"/>
          <w:spacing w:val="8"/>
          <w:kern w:val="2"/>
          <w:sz w:val="20"/>
          <w:szCs w:val="20"/>
          <w:lang w:eastAsia="zh-CN"/>
        </w:rPr>
        <w:t>特别声明：本信息简报所载内容均来自国内报刊、专业网站已发表的文章等信息。在任何情形下，本信息简报均不可作为法律意见、作出行动或制止行动的</w:t>
      </w:r>
      <w:r>
        <w:rPr>
          <w:rFonts w:ascii="黑体" w:eastAsia="黑体" w:hAnsi="黑体" w:cs="黑体" w:hint="eastAsia"/>
          <w:b/>
          <w:bCs/>
          <w:color w:val="011893"/>
          <w:spacing w:val="7"/>
          <w:kern w:val="2"/>
          <w:sz w:val="20"/>
          <w:szCs w:val="20"/>
          <w:lang w:eastAsia="zh-CN"/>
        </w:rPr>
        <w:t>依据。</w:t>
      </w:r>
    </w:p>
    <w:p w:rsidR="003460A0" w:rsidRDefault="00000000">
      <w:pPr>
        <w:pBdr>
          <w:top w:val="single" w:sz="4" w:space="6" w:color="auto"/>
          <w:left w:val="single" w:sz="4" w:space="4" w:color="auto"/>
          <w:bottom w:val="single" w:sz="4" w:space="1" w:color="auto"/>
          <w:right w:val="single" w:sz="4" w:space="4" w:color="auto"/>
        </w:pBdr>
        <w:spacing w:before="132" w:line="271" w:lineRule="auto"/>
        <w:ind w:right="157" w:firstLineChars="200" w:firstLine="434"/>
        <w:rPr>
          <w:rFonts w:ascii="黑体" w:eastAsia="黑体" w:hAnsi="黑体" w:cs="黑体"/>
          <w:color w:val="011893"/>
          <w:kern w:val="2"/>
          <w:sz w:val="20"/>
          <w:szCs w:val="20"/>
          <w:lang w:eastAsia="zh-CN"/>
        </w:rPr>
      </w:pPr>
      <w:r>
        <w:rPr>
          <w:rFonts w:ascii="黑体" w:eastAsia="黑体" w:hAnsi="黑体" w:cs="黑体" w:hint="eastAsia"/>
          <w:b/>
          <w:bCs/>
          <w:color w:val="011893"/>
          <w:spacing w:val="8"/>
          <w:kern w:val="2"/>
          <w:sz w:val="20"/>
          <w:szCs w:val="20"/>
          <w:lang w:eastAsia="zh-CN"/>
        </w:rPr>
        <w:t>版权保护：本信息简报由大连市律师协会公司法律专业委员会共同编辑并发布。任何有关本信息简报的转载或摘编，请注明出处。</w:t>
      </w:r>
    </w:p>
    <w:p w:rsidR="003460A0" w:rsidRDefault="003460A0">
      <w:pPr>
        <w:rPr>
          <w:rFonts w:ascii="等线" w:eastAsia="等线" w:hAnsi="等线" w:cs="黑体"/>
          <w:kern w:val="2"/>
          <w:szCs w:val="24"/>
          <w:lang w:eastAsia="zh-CN"/>
        </w:rPr>
      </w:pPr>
    </w:p>
    <w:p w:rsidR="003460A0" w:rsidRDefault="00000000">
      <w:pPr>
        <w:rPr>
          <w:rFonts w:ascii="仿宋_GB2312" w:eastAsia="仿宋_GB2312" w:hAnsi="仿宋_GB2312" w:cs="仿宋_GB2312"/>
          <w:color w:val="000000"/>
          <w:sz w:val="28"/>
          <w:lang w:eastAsia="zh-CN"/>
        </w:rPr>
      </w:pPr>
      <w:r>
        <w:rPr>
          <w:rFonts w:ascii="仿宋_GB2312" w:eastAsia="仿宋_GB2312" w:hAnsi="仿宋_GB2312" w:cs="仿宋_GB2312"/>
          <w:color w:val="000000"/>
          <w:sz w:val="28"/>
          <w:lang w:eastAsia="zh-CN"/>
        </w:rPr>
        <w:br w:type="page"/>
      </w:r>
    </w:p>
    <w:p w:rsidR="00DF5A5A" w:rsidRDefault="00DF5A5A">
      <w:pPr>
        <w:pStyle w:val="null5"/>
        <w:spacing w:line="360" w:lineRule="auto"/>
        <w:ind w:firstLineChars="200" w:firstLine="560"/>
        <w:jc w:val="center"/>
        <w:rPr>
          <w:rFonts w:hint="default"/>
          <w:color w:val="000000"/>
          <w:sz w:val="28"/>
        </w:rPr>
      </w:pPr>
    </w:p>
    <w:p w:rsidR="003460A0" w:rsidRDefault="00000000">
      <w:pPr>
        <w:pStyle w:val="null5"/>
        <w:spacing w:line="360" w:lineRule="auto"/>
        <w:ind w:firstLineChars="200" w:firstLine="602"/>
        <w:jc w:val="center"/>
        <w:rPr>
          <w:rFonts w:ascii="宋体" w:eastAsia="宋体" w:hAnsi="宋体" w:cs="宋体" w:hint="default"/>
          <w:b/>
          <w:bCs/>
          <w:sz w:val="30"/>
          <w:szCs w:val="30"/>
        </w:rPr>
      </w:pPr>
      <w:r>
        <w:rPr>
          <w:rFonts w:ascii="宋体" w:eastAsia="宋体" w:hAnsi="宋体" w:cs="宋体"/>
          <w:b/>
          <w:bCs/>
          <w:color w:val="000000"/>
          <w:sz w:val="30"/>
          <w:szCs w:val="30"/>
        </w:rPr>
        <w:t>目录</w:t>
      </w:r>
    </w:p>
    <w:p w:rsidR="003460A0" w:rsidRDefault="00000000">
      <w:pPr>
        <w:adjustRightInd w:val="0"/>
        <w:snapToGrid w:val="0"/>
        <w:spacing w:beforeLines="50" w:before="120" w:afterLines="50" w:after="120" w:line="480" w:lineRule="exact"/>
        <w:ind w:firstLineChars="200" w:firstLine="562"/>
        <w:rPr>
          <w:rFonts w:ascii="宋体" w:hAnsi="宋体" w:cs="黑体"/>
          <w:b/>
          <w:bCs/>
          <w:color w:val="FFFFFF"/>
          <w:kern w:val="2"/>
          <w:sz w:val="28"/>
          <w:szCs w:val="28"/>
          <w:highlight w:val="blue"/>
          <w:lang w:eastAsia="zh-CN"/>
        </w:rPr>
      </w:pPr>
      <w:r>
        <w:rPr>
          <w:rFonts w:ascii="宋体" w:hAnsi="宋体" w:cs="黑体" w:hint="eastAsia"/>
          <w:b/>
          <w:bCs/>
          <w:color w:val="FFFFFF"/>
          <w:kern w:val="2"/>
          <w:sz w:val="28"/>
          <w:szCs w:val="28"/>
          <w:highlight w:val="blue"/>
          <w:lang w:eastAsia="zh-CN"/>
        </w:rPr>
        <w:t>一、新法规政策总览</w:t>
      </w:r>
    </w:p>
    <w:p w:rsidR="003460A0"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1.2025年11月1日，厦门市人民代表大会常务委员会发布《厦门经济特区个人破产保护条例》（2025年11月1日起施行）</w:t>
      </w:r>
    </w:p>
    <w:p w:rsidR="003460A0" w:rsidRDefault="00000000">
      <w:pPr>
        <w:adjustRightInd w:val="0"/>
        <w:snapToGrid w:val="0"/>
        <w:spacing w:line="480" w:lineRule="exact"/>
        <w:ind w:firstLineChars="200" w:firstLine="480"/>
        <w:rPr>
          <w:rFonts w:ascii="仿宋_GB2312" w:eastAsia="仿宋_GB2312" w:hAnsi="仿宋_GB2312" w:cs="仿宋_GB2312"/>
          <w:color w:val="000000"/>
          <w:sz w:val="28"/>
          <w:lang w:eastAsia="zh-CN"/>
        </w:rPr>
      </w:pPr>
      <w:r>
        <w:rPr>
          <w:rFonts w:ascii="宋体" w:hAnsi="宋体" w:cs="黑体" w:hint="eastAsia"/>
          <w:kern w:val="2"/>
          <w:sz w:val="24"/>
          <w:szCs w:val="24"/>
          <w:lang w:eastAsia="zh-CN"/>
        </w:rPr>
        <w:t>2.</w:t>
      </w:r>
      <w:r>
        <w:rPr>
          <w:rFonts w:ascii="宋体" w:hAnsi="宋体" w:cs="黑体"/>
          <w:kern w:val="2"/>
          <w:sz w:val="24"/>
          <w:szCs w:val="24"/>
          <w:lang w:eastAsia="zh-CN"/>
        </w:rPr>
        <w:t>2025年12月17日</w:t>
      </w:r>
      <w:r>
        <w:rPr>
          <w:rFonts w:ascii="宋体" w:hAnsi="宋体" w:cs="黑体" w:hint="eastAsia"/>
          <w:kern w:val="2"/>
          <w:sz w:val="24"/>
          <w:szCs w:val="24"/>
          <w:lang w:eastAsia="zh-CN"/>
        </w:rPr>
        <w:t>，</w:t>
      </w:r>
      <w:r>
        <w:rPr>
          <w:rFonts w:ascii="宋体" w:hAnsi="宋体" w:cs="黑体"/>
          <w:kern w:val="2"/>
          <w:sz w:val="24"/>
          <w:szCs w:val="24"/>
          <w:lang w:eastAsia="zh-CN"/>
        </w:rPr>
        <w:t>最高人民法院发布《关于修改〈民事案件案由规定〉的决定》；</w:t>
      </w:r>
      <w:r>
        <w:rPr>
          <w:rFonts w:ascii="宋体" w:hAnsi="宋体" w:cs="黑体" w:hint="eastAsia"/>
          <w:kern w:val="2"/>
          <w:sz w:val="24"/>
          <w:szCs w:val="24"/>
          <w:lang w:eastAsia="zh-CN"/>
        </w:rPr>
        <w:t>（</w:t>
      </w:r>
      <w:r>
        <w:rPr>
          <w:rFonts w:ascii="宋体" w:hAnsi="宋体" w:cs="黑体"/>
          <w:kern w:val="2"/>
          <w:sz w:val="24"/>
          <w:szCs w:val="24"/>
          <w:lang w:eastAsia="zh-CN"/>
        </w:rPr>
        <w:t>2026年1月1日起施行</w:t>
      </w:r>
      <w:r>
        <w:rPr>
          <w:rFonts w:ascii="宋体" w:hAnsi="宋体" w:cs="黑体" w:hint="eastAsia"/>
          <w:kern w:val="2"/>
          <w:sz w:val="24"/>
          <w:szCs w:val="24"/>
          <w:lang w:eastAsia="zh-CN"/>
        </w:rPr>
        <w:t>）</w:t>
      </w:r>
    </w:p>
    <w:p w:rsidR="003460A0" w:rsidRDefault="00000000">
      <w:pPr>
        <w:adjustRightInd w:val="0"/>
        <w:snapToGrid w:val="0"/>
        <w:spacing w:beforeLines="50" w:before="120" w:afterLines="50" w:after="120" w:line="480" w:lineRule="exact"/>
        <w:ind w:firstLineChars="200" w:firstLine="562"/>
        <w:rPr>
          <w:rFonts w:ascii="宋体" w:hAnsi="宋体" w:cs="黑体"/>
          <w:b/>
          <w:bCs/>
          <w:color w:val="FFFFFF"/>
          <w:kern w:val="2"/>
          <w:sz w:val="28"/>
          <w:szCs w:val="28"/>
          <w:highlight w:val="blue"/>
          <w:lang w:eastAsia="zh-CN"/>
        </w:rPr>
      </w:pPr>
      <w:r>
        <w:rPr>
          <w:rFonts w:ascii="宋体" w:hAnsi="宋体" w:cs="黑体" w:hint="eastAsia"/>
          <w:b/>
          <w:bCs/>
          <w:color w:val="FFFFFF"/>
          <w:kern w:val="2"/>
          <w:sz w:val="28"/>
          <w:szCs w:val="28"/>
          <w:highlight w:val="blue"/>
          <w:lang w:eastAsia="zh-CN"/>
        </w:rPr>
        <w:t>二、典型示范案例解析</w:t>
      </w:r>
    </w:p>
    <w:p w:rsidR="003460A0"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案例1：齐a与袁a、姚a、上海A建筑装潢有限公司股权转让纠纷一案【案号：（2010）闵民二（商）初字第1459号】</w:t>
      </w:r>
    </w:p>
    <w:p w:rsidR="003460A0"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案例2：李永杰、山东天虹包装彩印有限公司等与公司有关的纠纷民事二审案【案号：（2023）鲁07民终2352号】</w:t>
      </w:r>
    </w:p>
    <w:p w:rsidR="003460A0"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3</w:t>
      </w:r>
      <w:r>
        <w:rPr>
          <w:rFonts w:ascii="宋体" w:hAnsi="宋体" w:cs="黑体"/>
          <w:kern w:val="2"/>
          <w:sz w:val="24"/>
          <w:szCs w:val="24"/>
          <w:lang w:eastAsia="zh-CN"/>
        </w:rPr>
        <w:t>：公司1、徐某公司决议效力确认纠纷民事二审案</w:t>
      </w:r>
      <w:r>
        <w:rPr>
          <w:rFonts w:ascii="宋体" w:hAnsi="宋体" w:cs="黑体" w:hint="eastAsia"/>
          <w:kern w:val="2"/>
          <w:sz w:val="24"/>
          <w:szCs w:val="24"/>
          <w:lang w:eastAsia="zh-CN"/>
        </w:rPr>
        <w:t>【</w:t>
      </w:r>
      <w:r>
        <w:rPr>
          <w:rFonts w:ascii="宋体" w:hAnsi="宋体" w:cs="黑体"/>
          <w:kern w:val="2"/>
          <w:sz w:val="24"/>
          <w:szCs w:val="24"/>
          <w:lang w:eastAsia="zh-CN"/>
        </w:rPr>
        <w:t>案号：（2024）苏05民终14207号</w:t>
      </w:r>
      <w:r>
        <w:rPr>
          <w:rFonts w:ascii="宋体" w:hAnsi="宋体" w:cs="黑体" w:hint="eastAsia"/>
          <w:kern w:val="2"/>
          <w:sz w:val="24"/>
          <w:szCs w:val="24"/>
          <w:lang w:eastAsia="zh-CN"/>
        </w:rPr>
        <w:t>】</w:t>
      </w:r>
    </w:p>
    <w:p w:rsidR="003460A0"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4</w:t>
      </w:r>
      <w:r>
        <w:rPr>
          <w:rFonts w:ascii="宋体" w:hAnsi="宋体" w:cs="黑体"/>
          <w:kern w:val="2"/>
          <w:sz w:val="24"/>
          <w:szCs w:val="24"/>
          <w:lang w:eastAsia="zh-CN"/>
        </w:rPr>
        <w:t>：李某英与武汉闻其名某某有限公司股东知情权纠纷一审案</w:t>
      </w:r>
      <w:r>
        <w:rPr>
          <w:rFonts w:ascii="宋体" w:hAnsi="宋体" w:cs="黑体" w:hint="eastAsia"/>
          <w:kern w:val="2"/>
          <w:sz w:val="24"/>
          <w:szCs w:val="24"/>
          <w:lang w:eastAsia="zh-CN"/>
        </w:rPr>
        <w:t>【</w:t>
      </w:r>
      <w:r>
        <w:rPr>
          <w:rFonts w:ascii="宋体" w:hAnsi="宋体" w:cs="黑体"/>
          <w:kern w:val="2"/>
          <w:sz w:val="24"/>
          <w:szCs w:val="24"/>
          <w:lang w:eastAsia="zh-CN"/>
        </w:rPr>
        <w:t>案号：（2025）鄂0102民初5275号</w:t>
      </w:r>
      <w:r>
        <w:rPr>
          <w:rFonts w:ascii="宋体" w:hAnsi="宋体" w:cs="黑体" w:hint="eastAsia"/>
          <w:kern w:val="2"/>
          <w:sz w:val="24"/>
          <w:szCs w:val="24"/>
          <w:lang w:eastAsia="zh-CN"/>
        </w:rPr>
        <w:t>】</w:t>
      </w:r>
    </w:p>
    <w:p w:rsidR="003460A0"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5</w:t>
      </w:r>
      <w:r>
        <w:rPr>
          <w:rFonts w:ascii="宋体" w:hAnsi="宋体" w:cs="黑体"/>
          <w:kern w:val="2"/>
          <w:sz w:val="24"/>
          <w:szCs w:val="24"/>
          <w:lang w:eastAsia="zh-CN"/>
        </w:rPr>
        <w:t>：韩某、和田某矿业有限公司等公司决议效力确认纠纷民事二审案</w:t>
      </w:r>
      <w:r>
        <w:rPr>
          <w:rFonts w:ascii="宋体" w:hAnsi="宋体" w:cs="黑体" w:hint="eastAsia"/>
          <w:kern w:val="2"/>
          <w:sz w:val="24"/>
          <w:szCs w:val="24"/>
          <w:lang w:eastAsia="zh-CN"/>
        </w:rPr>
        <w:t>【</w:t>
      </w:r>
      <w:r>
        <w:rPr>
          <w:rFonts w:ascii="宋体" w:hAnsi="宋体" w:cs="黑体"/>
          <w:kern w:val="2"/>
          <w:sz w:val="24"/>
          <w:szCs w:val="24"/>
          <w:lang w:eastAsia="zh-CN"/>
        </w:rPr>
        <w:t>案号：（2025）新32民终630号</w:t>
      </w:r>
      <w:r>
        <w:rPr>
          <w:rFonts w:ascii="宋体" w:hAnsi="宋体" w:cs="黑体" w:hint="eastAsia"/>
          <w:kern w:val="2"/>
          <w:sz w:val="24"/>
          <w:szCs w:val="24"/>
          <w:lang w:eastAsia="zh-CN"/>
        </w:rPr>
        <w:t>】</w:t>
      </w:r>
    </w:p>
    <w:p w:rsidR="003460A0"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6</w:t>
      </w:r>
      <w:r>
        <w:rPr>
          <w:rFonts w:ascii="宋体" w:hAnsi="宋体" w:cs="黑体"/>
          <w:kern w:val="2"/>
          <w:sz w:val="24"/>
          <w:szCs w:val="24"/>
          <w:lang w:eastAsia="zh-CN"/>
        </w:rPr>
        <w:t>：案例名称：华公司【HED】与广东中公司、第三人广州公司、广东公司公司盈余分配纠纷</w:t>
      </w:r>
      <w:r>
        <w:rPr>
          <w:rFonts w:ascii="宋体" w:hAnsi="宋体" w:cs="黑体" w:hint="eastAsia"/>
          <w:kern w:val="2"/>
          <w:sz w:val="24"/>
          <w:szCs w:val="24"/>
          <w:lang w:eastAsia="zh-CN"/>
        </w:rPr>
        <w:t>【</w:t>
      </w:r>
      <w:r>
        <w:rPr>
          <w:rFonts w:ascii="宋体" w:hAnsi="宋体" w:cs="黑体"/>
          <w:kern w:val="2"/>
          <w:sz w:val="24"/>
          <w:szCs w:val="24"/>
          <w:lang w:eastAsia="zh-CN"/>
        </w:rPr>
        <w:t>案号：（2022）粤0191民初6211号</w:t>
      </w:r>
      <w:r>
        <w:rPr>
          <w:rFonts w:ascii="宋体" w:hAnsi="宋体" w:cs="黑体" w:hint="eastAsia"/>
          <w:kern w:val="2"/>
          <w:sz w:val="24"/>
          <w:szCs w:val="24"/>
          <w:lang w:eastAsia="zh-CN"/>
        </w:rPr>
        <w:t>】</w:t>
      </w:r>
    </w:p>
    <w:p w:rsidR="003460A0"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7</w:t>
      </w:r>
      <w:r>
        <w:rPr>
          <w:rFonts w:ascii="宋体" w:hAnsi="宋体" w:cs="黑体"/>
          <w:kern w:val="2"/>
          <w:sz w:val="24"/>
          <w:szCs w:val="24"/>
          <w:lang w:eastAsia="zh-CN"/>
        </w:rPr>
        <w:t>：案例名称：山东天虹包装彩印有限公司与康保文、原审被告于德水、刘卫华与公司有关的纠纷</w:t>
      </w:r>
      <w:r>
        <w:rPr>
          <w:rFonts w:ascii="宋体" w:hAnsi="宋体" w:cs="黑体" w:hint="eastAsia"/>
          <w:kern w:val="2"/>
          <w:sz w:val="24"/>
          <w:szCs w:val="24"/>
          <w:lang w:eastAsia="zh-CN"/>
        </w:rPr>
        <w:t>【</w:t>
      </w:r>
      <w:r>
        <w:rPr>
          <w:rFonts w:ascii="宋体" w:hAnsi="宋体" w:cs="黑体"/>
          <w:kern w:val="2"/>
          <w:sz w:val="24"/>
          <w:szCs w:val="24"/>
          <w:lang w:eastAsia="zh-CN"/>
        </w:rPr>
        <w:t>案号：（2023）鲁07民终2353号</w:t>
      </w:r>
      <w:r>
        <w:rPr>
          <w:rFonts w:ascii="宋体" w:hAnsi="宋体" w:cs="黑体" w:hint="eastAsia"/>
          <w:kern w:val="2"/>
          <w:sz w:val="24"/>
          <w:szCs w:val="24"/>
          <w:lang w:eastAsia="zh-CN"/>
        </w:rPr>
        <w:t>】</w:t>
      </w:r>
    </w:p>
    <w:p w:rsidR="003460A0"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案例8：案例名称：郑某与刘某甲、刘某乙、某饰品（中山）有限公司股权转让纠纷二审案</w:t>
      </w:r>
      <w:r>
        <w:rPr>
          <w:rFonts w:ascii="宋体" w:hAnsi="宋体" w:cs="黑体" w:hint="eastAsia"/>
          <w:kern w:val="2"/>
          <w:sz w:val="24"/>
          <w:szCs w:val="24"/>
          <w:lang w:eastAsia="zh-CN"/>
        </w:rPr>
        <w:t>【</w:t>
      </w:r>
      <w:r>
        <w:rPr>
          <w:rFonts w:ascii="宋体" w:hAnsi="宋体" w:cs="黑体"/>
          <w:kern w:val="2"/>
          <w:sz w:val="24"/>
          <w:szCs w:val="24"/>
          <w:lang w:eastAsia="zh-CN"/>
        </w:rPr>
        <w:t>案号：（2024）粤20民终4997号</w:t>
      </w:r>
      <w:r>
        <w:rPr>
          <w:rFonts w:ascii="宋体" w:hAnsi="宋体" w:cs="黑体" w:hint="eastAsia"/>
          <w:kern w:val="2"/>
          <w:sz w:val="24"/>
          <w:szCs w:val="24"/>
          <w:lang w:eastAsia="zh-CN"/>
        </w:rPr>
        <w:t>】</w:t>
      </w:r>
    </w:p>
    <w:p w:rsidR="003460A0" w:rsidRDefault="00000000">
      <w:pPr>
        <w:spacing w:line="480" w:lineRule="exact"/>
        <w:rPr>
          <w:rFonts w:ascii="仿宋_GB2312" w:eastAsia="仿宋_GB2312" w:hAnsi="仿宋_GB2312" w:cs="仿宋_GB2312"/>
          <w:bCs/>
          <w:color w:val="000000"/>
          <w:sz w:val="28"/>
          <w:lang w:eastAsia="zh-CN"/>
        </w:rPr>
      </w:pPr>
      <w:r>
        <w:rPr>
          <w:rFonts w:ascii="仿宋_GB2312" w:eastAsia="仿宋_GB2312" w:hAnsi="仿宋_GB2312" w:cs="仿宋_GB2312"/>
          <w:bCs/>
          <w:color w:val="000000"/>
          <w:sz w:val="28"/>
          <w:lang w:eastAsia="zh-CN"/>
        </w:rPr>
        <w:br w:type="page"/>
      </w:r>
    </w:p>
    <w:p w:rsidR="003460A0" w:rsidRDefault="00000000">
      <w:pPr>
        <w:pStyle w:val="null5"/>
        <w:spacing w:line="480" w:lineRule="exact"/>
        <w:ind w:firstLineChars="200" w:firstLine="602"/>
        <w:jc w:val="center"/>
        <w:rPr>
          <w:rFonts w:ascii="宋体" w:eastAsia="宋体" w:hAnsi="宋体" w:cs="宋体" w:hint="default"/>
          <w:b/>
          <w:sz w:val="30"/>
          <w:szCs w:val="30"/>
        </w:rPr>
      </w:pPr>
      <w:r>
        <w:rPr>
          <w:rFonts w:ascii="宋体" w:eastAsia="宋体" w:hAnsi="宋体" w:cs="宋体"/>
          <w:b/>
          <w:color w:val="000000"/>
          <w:sz w:val="30"/>
          <w:szCs w:val="30"/>
        </w:rPr>
        <w:lastRenderedPageBreak/>
        <w:t>正文</w:t>
      </w:r>
    </w:p>
    <w:p w:rsidR="003460A0" w:rsidRDefault="00000000">
      <w:pPr>
        <w:adjustRightInd w:val="0"/>
        <w:snapToGrid w:val="0"/>
        <w:spacing w:beforeLines="50" w:before="120" w:afterLines="50" w:after="120" w:line="480" w:lineRule="exact"/>
        <w:ind w:firstLineChars="200" w:firstLine="562"/>
        <w:rPr>
          <w:rFonts w:ascii="宋体" w:hAnsi="宋体" w:cs="黑体"/>
          <w:b/>
          <w:bCs/>
          <w:color w:val="FFFFFF"/>
          <w:kern w:val="2"/>
          <w:sz w:val="28"/>
          <w:szCs w:val="28"/>
          <w:highlight w:val="blue"/>
          <w:lang w:eastAsia="zh-CN"/>
        </w:rPr>
      </w:pPr>
      <w:r>
        <w:rPr>
          <w:rFonts w:ascii="宋体" w:hAnsi="宋体" w:cs="黑体" w:hint="eastAsia"/>
          <w:b/>
          <w:bCs/>
          <w:color w:val="FFFFFF"/>
          <w:kern w:val="2"/>
          <w:sz w:val="28"/>
          <w:szCs w:val="28"/>
          <w:highlight w:val="blue"/>
          <w:lang w:eastAsia="zh-CN"/>
        </w:rPr>
        <w:t>一、新法规政策总览</w:t>
      </w:r>
    </w:p>
    <w:p w:rsidR="003460A0" w:rsidRDefault="00000000">
      <w:pPr>
        <w:pStyle w:val="null5"/>
        <w:spacing w:line="480" w:lineRule="exact"/>
        <w:ind w:firstLineChars="200" w:firstLine="480"/>
        <w:rPr>
          <w:rFonts w:ascii="宋体" w:eastAsia="宋体" w:hAnsi="宋体" w:cs="宋体" w:hint="default"/>
        </w:rPr>
      </w:pPr>
      <w:r>
        <w:rPr>
          <w:rFonts w:ascii="宋体" w:eastAsia="宋体" w:hAnsi="宋体" w:cs="宋体"/>
          <w:color w:val="000000"/>
        </w:rPr>
        <w:t>1.</w:t>
      </w:r>
      <w:r>
        <w:rPr>
          <w:rFonts w:ascii="宋体" w:eastAsia="宋体" w:hAnsi="宋体" w:cs="宋体"/>
          <w:b/>
          <w:color w:val="000000"/>
        </w:rPr>
        <w:t>2025年11月1日，厦门市人民代表大会常务委员会发布《厦门经济特区个人破产保护条例》（2025年11月1日起施行）</w:t>
      </w:r>
    </w:p>
    <w:p w:rsidR="003460A0" w:rsidRDefault="00000000">
      <w:pPr>
        <w:pStyle w:val="null5"/>
        <w:spacing w:line="480" w:lineRule="exact"/>
        <w:ind w:firstLineChars="200" w:firstLine="482"/>
        <w:rPr>
          <w:rFonts w:ascii="宋体" w:eastAsia="宋体" w:hAnsi="宋体" w:cs="宋体" w:hint="default"/>
          <w:b/>
          <w:bCs/>
        </w:rPr>
      </w:pPr>
      <w:r>
        <w:rPr>
          <w:rFonts w:ascii="宋体" w:eastAsia="宋体" w:hAnsi="宋体" w:cs="宋体"/>
          <w:b/>
          <w:bCs/>
          <w:color w:val="000000"/>
        </w:rPr>
        <w:t>要点提示：</w:t>
      </w:r>
    </w:p>
    <w:p w:rsidR="003460A0"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厦门经济特区个人破产保护条例》针对个人破产程序中可能出现的欺诈行为增设特别规制条款。其中第一百四十七条规定，若债权人或其他利害关系人发现债务人通过欺诈手段获得免除剩余债务的裁定，且有证据证明该行为严重损害债权人利益的，可以申请人民法院撤销该裁定；人民法院发现债务人存在前述行为的，亦可依职权撤销。撤销裁定需送达债务人、债权人、管理人和破产事务管理机构并公告，债务人对撤销裁定不服的，可自送达之日起十五日内申请复议。该条款强化了对个人破产程序的监督，防范债务人通过虚假申报、隐匿财产等方式逃避债务，保障债权人合法权益。</w:t>
      </w:r>
    </w:p>
    <w:p w:rsidR="003460A0"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2.2025年12月17日，最高人民法院发布《关于修改〈民事案件案由规定〉的决定》；（2026年1月1日起施行）</w:t>
      </w:r>
    </w:p>
    <w:p w:rsidR="003460A0"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要点提示：</w:t>
      </w:r>
    </w:p>
    <w:p w:rsidR="003460A0"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2025年12月17日，最高人民法院正式发布《关于修改〈民事案件案由规定〉的决定》及《关于印发修改后的〈民事案件案由规定〉的通知》（以下简称“修改后的《案由规定》”），两项文件均于2026年1月1日起施行。本次修改是最高人民法院针对民法典施行后司法实践的新需求，对原有案由体系进行的针对性调整，核心要点如下：</w:t>
      </w:r>
    </w:p>
    <w:p w:rsidR="003460A0"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修改的基本原则：</w:t>
      </w:r>
    </w:p>
    <w:p w:rsidR="003460A0"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本次修改以“保持体系稳定”为前提，未对案由编排体系作大幅调整，仅对必须增加、调整的案由进行修改；同时“对照民法典”，重点针对民法典的新增制度（如个人信息保护、居住权、保理合同等）和重大修改内容，调整相应案由；此外坚持“实用性原则”，注重案由的简洁明了与方便实用，既便于当事人准确选择诉讼案由，也便于人民法院开展立案、审判及司法统计工作。</w:t>
      </w:r>
    </w:p>
    <w:p w:rsidR="003460A0"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具体修改内容：</w:t>
      </w:r>
    </w:p>
    <w:p w:rsidR="003460A0" w:rsidRDefault="00000000">
      <w:pPr>
        <w:pStyle w:val="null5"/>
        <w:spacing w:line="480" w:lineRule="exact"/>
        <w:ind w:firstLineChars="200" w:firstLine="482"/>
        <w:rPr>
          <w:rFonts w:ascii="宋体" w:eastAsia="宋体" w:hAnsi="宋体" w:cs="宋体" w:hint="default"/>
          <w:color w:val="000000"/>
        </w:rPr>
      </w:pPr>
      <w:r>
        <w:rPr>
          <w:rFonts w:ascii="宋体" w:eastAsia="宋体" w:hAnsi="宋体" w:cs="宋体"/>
          <w:b/>
          <w:bCs/>
          <w:color w:val="000000"/>
        </w:rPr>
        <w:t>新增民法典相关案由：</w:t>
      </w:r>
      <w:r>
        <w:rPr>
          <w:rFonts w:ascii="宋体" w:eastAsia="宋体" w:hAnsi="宋体" w:cs="宋体"/>
          <w:color w:val="000000"/>
        </w:rPr>
        <w:t>对照民法典新增制度，增加了“个人信息保护纠纷”“居住权纠纷”“保理合同纠纷”“未成年人保护民事公益诉讼”“声音保护纠纷”等案由，</w:t>
      </w:r>
      <w:r>
        <w:rPr>
          <w:rFonts w:ascii="宋体" w:eastAsia="宋体" w:hAnsi="宋体" w:cs="宋体"/>
          <w:color w:val="000000"/>
        </w:rPr>
        <w:lastRenderedPageBreak/>
        <w:t>覆盖民法典中关于人格权、合同、公益保护等领域的新规定，回应了司法实践中新型民事纠纷的审理需求。</w:t>
      </w:r>
    </w:p>
    <w:p w:rsidR="003460A0" w:rsidRDefault="00000000">
      <w:pPr>
        <w:pStyle w:val="null5"/>
        <w:spacing w:line="480" w:lineRule="exact"/>
        <w:ind w:firstLineChars="200" w:firstLine="482"/>
        <w:rPr>
          <w:rFonts w:ascii="宋体" w:eastAsia="宋体" w:hAnsi="宋体" w:cs="宋体" w:hint="default"/>
          <w:color w:val="000000"/>
        </w:rPr>
      </w:pPr>
      <w:r>
        <w:rPr>
          <w:rFonts w:ascii="宋体" w:eastAsia="宋体" w:hAnsi="宋体" w:cs="宋体"/>
          <w:b/>
          <w:bCs/>
          <w:color w:val="000000"/>
        </w:rPr>
        <w:t>调整表述适配现行法律：</w:t>
      </w:r>
      <w:r>
        <w:rPr>
          <w:rFonts w:ascii="宋体" w:eastAsia="宋体" w:hAnsi="宋体" w:cs="宋体"/>
          <w:color w:val="000000"/>
        </w:rPr>
        <w:t>将原有案由中“公民”相关表述统一修改为“自然人”（如“申请宣告公民无民事行为能力”调整为“申请宣告自然人无民事行为能力”），与民法典及民事诉讼法的术语保持一致，增强法律适用的统一性。</w:t>
      </w:r>
    </w:p>
    <w:p w:rsidR="003460A0" w:rsidRDefault="00000000">
      <w:pPr>
        <w:pStyle w:val="null5"/>
        <w:spacing w:line="480" w:lineRule="exact"/>
        <w:ind w:firstLineChars="200" w:firstLine="482"/>
        <w:rPr>
          <w:rFonts w:ascii="宋体" w:eastAsia="宋体" w:hAnsi="宋体" w:cs="宋体" w:hint="default"/>
          <w:color w:val="000000"/>
        </w:rPr>
      </w:pPr>
      <w:r>
        <w:rPr>
          <w:rFonts w:ascii="宋体" w:eastAsia="宋体" w:hAnsi="宋体" w:cs="宋体"/>
          <w:b/>
          <w:bCs/>
          <w:color w:val="000000"/>
        </w:rPr>
        <w:t>完善特殊领域案由：</w:t>
      </w:r>
      <w:r>
        <w:rPr>
          <w:rFonts w:ascii="宋体" w:eastAsia="宋体" w:hAnsi="宋体" w:cs="宋体"/>
          <w:color w:val="000000"/>
        </w:rPr>
        <w:t>结合“绿色原则”及公益诉讼实践，增加了“生态环境损害赔偿纠纷”“生态环境保护民事公益诉讼”等案由，强化对环境公共利益的司法保护；同时补充了“指定遗产管理人案件”“确认调解协议案件”“实现担保物权案件”等第二级案由及下属第三级案由，规范遗产管理、调解协议司法确认、担保物权实现等特殊程序的案由适用。</w:t>
      </w:r>
    </w:p>
    <w:p w:rsidR="003460A0" w:rsidRDefault="00000000">
      <w:pPr>
        <w:pStyle w:val="null5"/>
        <w:spacing w:line="480" w:lineRule="exact"/>
        <w:ind w:firstLineChars="200" w:firstLine="482"/>
        <w:rPr>
          <w:rFonts w:ascii="宋体" w:eastAsia="宋体" w:hAnsi="宋体" w:cs="宋体" w:hint="default"/>
          <w:color w:val="000000"/>
        </w:rPr>
      </w:pPr>
      <w:r>
        <w:rPr>
          <w:rFonts w:ascii="宋体" w:eastAsia="宋体" w:hAnsi="宋体" w:cs="宋体"/>
          <w:b/>
          <w:bCs/>
          <w:color w:val="000000"/>
        </w:rPr>
        <w:t>突出实用性特点：</w:t>
      </w:r>
      <w:r>
        <w:rPr>
          <w:rFonts w:ascii="宋体" w:eastAsia="宋体" w:hAnsi="宋体" w:cs="宋体"/>
          <w:color w:val="000000"/>
        </w:rPr>
        <w:t>修改后的《案由规定》更加注重“简洁实用”，案由表述均以“法律关系性质+纠纷”为核心（如“个人信息保护纠纷”“居住权纠纷”），避免包含争议焦点、标的物等冗余要素，既便于当事人快速识别与选择案由，也便于人民法院精准定位案件性质，提升立案、审判效率。同时，对于民法典新增制度的案由（如“个人信息保护纠纷”），未作过度细化，留待后续结合司法实践进一步完善第四级案由，保持案由体系的开放性与适应性。</w:t>
      </w:r>
    </w:p>
    <w:p w:rsidR="003460A0"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综上，本次修改是最高人民法院在保持案由体系稳定的基础上，针对民法典施行及司法实践需求作出的精准调整，既对接了现行立法的新规定，又兼顾了当事人与人民法院的实际使用需求，为民事案件的规范审理提供了更清晰的案由指引。</w:t>
      </w:r>
    </w:p>
    <w:p w:rsidR="00DF5A5A" w:rsidRDefault="00DF5A5A">
      <w:pPr>
        <w:pStyle w:val="null5"/>
        <w:spacing w:line="480" w:lineRule="exact"/>
        <w:ind w:firstLineChars="200" w:firstLine="562"/>
        <w:rPr>
          <w:rFonts w:ascii="宋体" w:eastAsia="宋体" w:hAnsi="宋体" w:cs="黑体" w:hint="default"/>
          <w:b/>
          <w:bCs/>
          <w:color w:val="FFFFFF"/>
          <w:kern w:val="2"/>
          <w:sz w:val="28"/>
          <w:szCs w:val="28"/>
          <w:highlight w:val="blue"/>
        </w:rPr>
      </w:pPr>
    </w:p>
    <w:p w:rsidR="003460A0" w:rsidRDefault="00000000">
      <w:pPr>
        <w:pStyle w:val="null5"/>
        <w:spacing w:line="480" w:lineRule="exact"/>
        <w:ind w:firstLineChars="200" w:firstLine="562"/>
        <w:rPr>
          <w:rFonts w:ascii="宋体" w:eastAsia="宋体" w:hAnsi="宋体" w:cs="黑体" w:hint="default"/>
          <w:b/>
          <w:bCs/>
          <w:color w:val="FFFFFF"/>
          <w:kern w:val="2"/>
          <w:sz w:val="28"/>
          <w:szCs w:val="28"/>
          <w:highlight w:val="blue"/>
        </w:rPr>
      </w:pPr>
      <w:r>
        <w:rPr>
          <w:rFonts w:ascii="宋体" w:eastAsia="宋体" w:hAnsi="宋体" w:cs="黑体"/>
          <w:b/>
          <w:bCs/>
          <w:color w:val="FFFFFF"/>
          <w:kern w:val="2"/>
          <w:sz w:val="28"/>
          <w:szCs w:val="28"/>
          <w:highlight w:val="blue"/>
        </w:rPr>
        <w:t>二、典型示范案例解析</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案例1：齐a与袁a、姚a、上海A建筑装潢有限公司股权转让纠纷一案</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案号：（2010）闵民二（商）初字第1459号</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被告袁a、姚a是否应向原告齐a支付股权转让款及利息；上海A建筑装潢有限公司是否应对上述支付义务承担连带责任。</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裁判要旨：</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涉案2004年12月1日股权转让协议系双方真实意思表示，未违反法律、行政法规的强制性规定，合法有效。原告齐a系上海A建筑装潢有限公司登记股东（工商登记及</w:t>
      </w:r>
      <w:r>
        <w:rPr>
          <w:rFonts w:ascii="宋体" w:eastAsia="宋体" w:hAnsi="宋体" w:cs="宋体"/>
          <w:bCs/>
          <w:color w:val="000000"/>
        </w:rPr>
        <w:lastRenderedPageBreak/>
        <w:t>公司章程均记载其股东身份，被告虽辩称其为挂名股东，但未提供充分证据证明其已丧失实质股东权利），依法享有股东权益。被告袁a、姚a作为股权受让方，应按协议约定向原告支付股权转让款各10万元及相应利息（利息自2010年7月23日原告起诉之日起，按中国人民银行同期贷款利率计算）。上海A建筑装潢有限公司并非股权转让协议的缔约主体，亦非股权受让方，原告要求其承担连带责任无事实和法律依据，不予支持。</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案例2：李永杰、山东天虹包装彩印有限公司等与公司有关的纠纷民事二审案</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案号：（2023）鲁07民终2352号</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李永杰与于德水之间的股权转让协议是否成立；</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李永杰是否具有山东天虹包装彩印有限公司股东资格；</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李永杰行使股东知情权是否需履行法定前置程序；</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李永杰的分红主张是否应予支持。</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裁判要旨：</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股权转让协议中“李永杰”的签名非其本人所签，亦无证据证明其授权他人代签或事后追认，根据《中华人民共和国合同法》第二十五条【现已更改为《中华人民共和国民法典》第四百八十三条】（现《民法典》第四百八十三条）“承诺生效时合同成立”的规定，该协议不成立。</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李永杰系从原股东处受让股权并经工商登记确认股东身份，被告未提供证据证明李永杰已转让股权或公司通过减资程序注销其股权，故李永杰仍具有山东天虹包装彩印有限公司股东资格。</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根据《中华人民共和国公司法》第三十三条规定，股东要求查阅公司会计账簿的，应当向公司提出书面请求并说明目的（前置程序）。李永杰未提交证据证明其已履行该程序，故对其查阅会计账簿及原始财务凭证的请求不予支持。</w:t>
      </w:r>
    </w:p>
    <w:p w:rsidR="003460A0" w:rsidRDefault="00000000">
      <w:pPr>
        <w:pStyle w:val="null5"/>
        <w:spacing w:line="480" w:lineRule="exact"/>
        <w:ind w:firstLineChars="200" w:firstLine="480"/>
        <w:rPr>
          <w:rFonts w:ascii="宋体" w:eastAsia="宋体" w:hAnsi="宋体" w:cs="宋体" w:hint="default"/>
          <w:b/>
          <w:bCs/>
        </w:rPr>
      </w:pPr>
      <w:r>
        <w:rPr>
          <w:rFonts w:ascii="宋体" w:eastAsia="宋体" w:hAnsi="宋体" w:cs="宋体"/>
          <w:bCs/>
          <w:color w:val="000000"/>
        </w:rPr>
        <w:t>公司盈余分配属于公司自治范畴，需经股东会决议通过。天虹公司未就盈余分配作出决议，李永杰的分红主张不符合《中华人民共和国公司法》第三十八条（现《公司法》第三十七条）“股东会行使审议批准公司利润分配方案职权”及《最高人民法院关于适用&lt;中华人民共和国公司法&gt;若干问题的规定（四）》第十五条“未提交载明具体分配方案的股东会决议，请求公司分配利润的，人民法院驳回其诉讼请求”的规定，不予支持。</w:t>
      </w:r>
    </w:p>
    <w:p w:rsidR="003460A0"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案例3：公司1、徐某公司决议效力确认纠纷民事二审案</w:t>
      </w:r>
    </w:p>
    <w:p w:rsidR="003460A0"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lastRenderedPageBreak/>
        <w:t>案号：（2024）苏05民终14207号</w:t>
      </w:r>
    </w:p>
    <w:p w:rsidR="003460A0" w:rsidRDefault="00000000">
      <w:pPr>
        <w:pStyle w:val="null5"/>
        <w:spacing w:line="480" w:lineRule="exact"/>
        <w:ind w:firstLineChars="200" w:firstLine="482"/>
        <w:rPr>
          <w:rFonts w:ascii="宋体" w:eastAsia="宋体" w:hAnsi="宋体" w:cs="宋体" w:hint="default"/>
          <w:bCs/>
          <w:color w:val="000000"/>
        </w:rPr>
      </w:pPr>
      <w:r>
        <w:rPr>
          <w:rFonts w:ascii="宋体" w:eastAsia="宋体" w:hAnsi="宋体" w:cs="宋体"/>
          <w:b/>
          <w:color w:val="000000"/>
        </w:rPr>
        <w:t>争议焦点：</w:t>
      </w:r>
      <w:r>
        <w:rPr>
          <w:rFonts w:ascii="宋体" w:eastAsia="宋体" w:hAnsi="宋体" w:cs="宋体"/>
          <w:bCs/>
          <w:color w:val="000000"/>
        </w:rPr>
        <w:t>公司12020年9月18日《章程修正案》中将徐某出资期限自2036年1月12日变更为2022年4月30日的内容是否无效。</w:t>
      </w:r>
    </w:p>
    <w:p w:rsidR="003460A0" w:rsidRDefault="00000000">
      <w:pPr>
        <w:pStyle w:val="null5"/>
        <w:spacing w:line="480" w:lineRule="exact"/>
        <w:ind w:firstLineChars="200" w:firstLine="482"/>
        <w:rPr>
          <w:rFonts w:ascii="宋体" w:eastAsia="宋体" w:hAnsi="宋体" w:cs="宋体" w:hint="default"/>
          <w:bCs/>
          <w:color w:val="000000"/>
        </w:rPr>
      </w:pPr>
      <w:r>
        <w:rPr>
          <w:rFonts w:ascii="宋体" w:eastAsia="宋体" w:hAnsi="宋体" w:cs="宋体"/>
          <w:b/>
          <w:color w:val="000000"/>
        </w:rPr>
        <w:t>裁判要旨：</w:t>
      </w:r>
      <w:r>
        <w:rPr>
          <w:rFonts w:ascii="宋体" w:eastAsia="宋体" w:hAnsi="宋体" w:cs="宋体"/>
          <w:bCs/>
          <w:color w:val="000000"/>
        </w:rPr>
        <w:t>有限责任公司修改股东出资期限涉及股东期限权益，需全体股东一致同意。2020年9月18日股东会决议仅载明“修改公司章程”，未涉及出资期限变更，且《章程修正案》无徐某签字。公司1未能证明股东会决议包含出资期限变更内容，其主张徐某知晓变更缺乏充分证据。故该《章程修正案》中出资期限变更内容无效。</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案例4：李某英与武汉闻其名某某有限公司股东知情权纠纷一审案</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案号：（2025）鄂0102民初5275号</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1. 李某英是否仍为公司股东并有权行使知情权；</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2. 李某英主张的知情权范围是否符合法律规定。</w:t>
      </w:r>
    </w:p>
    <w:p w:rsidR="003460A0" w:rsidRDefault="00000000">
      <w:pPr>
        <w:pStyle w:val="null5"/>
        <w:spacing w:line="480" w:lineRule="exact"/>
        <w:ind w:firstLineChars="200" w:firstLine="482"/>
        <w:rPr>
          <w:rFonts w:ascii="宋体" w:eastAsia="宋体" w:hAnsi="宋体" w:cs="宋体" w:hint="default"/>
          <w:bCs/>
          <w:color w:val="000000"/>
        </w:rPr>
      </w:pPr>
      <w:r>
        <w:rPr>
          <w:rFonts w:ascii="宋体" w:eastAsia="宋体" w:hAnsi="宋体" w:cs="宋体"/>
          <w:b/>
          <w:color w:val="000000"/>
        </w:rPr>
        <w:t>裁判要旨：</w:t>
      </w:r>
      <w:r>
        <w:rPr>
          <w:rFonts w:ascii="宋体" w:eastAsia="宋体" w:hAnsi="宋体" w:cs="宋体"/>
          <w:bCs/>
          <w:color w:val="000000"/>
        </w:rPr>
        <w:t>李某英与童某玲签订的股权转让协议生效，但未办理工商变更，对内李某英不再是股东，但可查阅持股期间（2023年9月27日至2024年12月13日）资料。支持李某英查阅、复制公司章程、股东会会议记录、财务会计报告（资产负债表、现金流量表、财务情况说明书）；查阅会计账簿（现金日记账、银行日记账）、记账凭证、原始凭证；驳回超出法律规定范围的请求（如银行对账单、损益表等）。</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案例5：韩某、和田某矿业有限公司等公司决议效力确认纠纷民事二审案</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案号：（2025）新32民终630号</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和田某矿业有限公司2024年6月20日股东会决议是否无效。</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裁判要旨：</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股东会召集程序合法（监事郑某受执行董事委托，通过登报、短信通知股东，韩某回复参加）；表决程序符合章程（新疆某矿业占股73.28%，超三分之二表决权）；决议内容未侵犯韩某利益，韩某未按时参会系自身原因。故该股东会决议有效，驳回韩某确认决议无效的请求。</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案例6：案例名称：原告华公司【HED】诉被告广东中公司、第三人广州公司、广东公司公司盈余分配纠纷</w:t>
      </w:r>
      <w:r>
        <w:rPr>
          <w:rFonts w:ascii="宋体" w:eastAsia="宋体" w:hAnsi="宋体" w:cs="宋体"/>
          <w:b/>
          <w:color w:val="000000"/>
        </w:rPr>
        <w:br/>
      </w:r>
      <w:r>
        <w:rPr>
          <w:rFonts w:ascii="宋体" w:eastAsia="宋体" w:hAnsi="宋体" w:cs="宋体"/>
          <w:b/>
          <w:color w:val="000000"/>
        </w:rPr>
        <w:lastRenderedPageBreak/>
        <w:t xml:space="preserve">    案号：（2022）粤0191民初6211号</w:t>
      </w:r>
      <w:r>
        <w:rPr>
          <w:rFonts w:ascii="宋体" w:eastAsia="宋体" w:hAnsi="宋体" w:cs="宋体"/>
          <w:bCs/>
          <w:color w:val="000000"/>
        </w:rPr>
        <w:br/>
        <w:t xml:space="preserve"> </w:t>
      </w:r>
      <w:r>
        <w:rPr>
          <w:rFonts w:ascii="宋体" w:eastAsia="宋体" w:hAnsi="宋体" w:cs="宋体"/>
          <w:b/>
          <w:color w:val="000000"/>
        </w:rPr>
        <w:t xml:space="preserve">   争议焦点：</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1. 广东中公司2008年8月29日至2013年12月31日净利润中的提留部分是否应再行分配；</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2. 2014年1月1日至2021年12月31日净利润是否满足法定分配条件；</w:t>
      </w:r>
    </w:p>
    <w:p w:rsidR="003460A0" w:rsidRDefault="00000000">
      <w:pPr>
        <w:pStyle w:val="null5"/>
        <w:spacing w:line="480" w:lineRule="exact"/>
        <w:ind w:firstLineChars="200" w:firstLine="480"/>
        <w:rPr>
          <w:rFonts w:ascii="宋体" w:eastAsia="宋体" w:hAnsi="宋体" w:cs="宋体" w:hint="default"/>
          <w:b/>
          <w:color w:val="000000"/>
        </w:rPr>
      </w:pPr>
      <w:r>
        <w:rPr>
          <w:rFonts w:ascii="宋体" w:eastAsia="宋体" w:hAnsi="宋体" w:cs="宋体"/>
          <w:bCs/>
          <w:color w:val="000000"/>
        </w:rPr>
        <w:t>3. 原告要求被告每年3月31日前分配上一年度利润的主张是否成立。</w:t>
      </w:r>
      <w:r>
        <w:rPr>
          <w:rFonts w:ascii="宋体" w:eastAsia="宋体" w:hAnsi="宋体" w:cs="宋体"/>
          <w:bCs/>
          <w:color w:val="000000"/>
        </w:rPr>
        <w:br/>
        <w:t xml:space="preserve">   </w:t>
      </w:r>
      <w:r>
        <w:rPr>
          <w:rFonts w:ascii="宋体" w:eastAsia="宋体" w:hAnsi="宋体" w:cs="宋体"/>
          <w:b/>
          <w:color w:val="000000"/>
        </w:rPr>
        <w:t xml:space="preserve"> 裁判要旨：</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1. 2008-2013年利润分配决议系董事会有效决议，提留部分用于公司经营发展属公司自治范畴，司法不强制干预；</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2. 2014-2021年期间，被告未召开董事会分配利润且大股东滥用优势地位，原告主张按审计净利润（21319118.45元）及持股比例36.2%分配（计7717520.88元）有事实和法律依据；</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3. 要求被告未来每年强制分配利润的主张违反公司自治原则，不予支持。</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案例7：案例名称：山东天虹包装彩印有限公司与康保文、原审被告于德水、刘卫华与公司有关的纠纷</w:t>
      </w:r>
      <w:r>
        <w:rPr>
          <w:rFonts w:ascii="宋体" w:eastAsia="宋体" w:hAnsi="宋体" w:cs="宋体"/>
          <w:b/>
          <w:color w:val="000000"/>
        </w:rPr>
        <w:br/>
        <w:t xml:space="preserve">    案号：（2023）鲁07民终2353号</w:t>
      </w:r>
      <w:r>
        <w:rPr>
          <w:rFonts w:ascii="宋体" w:eastAsia="宋体" w:hAnsi="宋体" w:cs="宋体"/>
          <w:bCs/>
          <w:color w:val="000000"/>
        </w:rPr>
        <w:br/>
        <w:t xml:space="preserve">    </w:t>
      </w:r>
      <w:r>
        <w:rPr>
          <w:rFonts w:ascii="宋体" w:eastAsia="宋体" w:hAnsi="宋体" w:cs="宋体"/>
          <w:b/>
          <w:color w:val="000000"/>
        </w:rPr>
        <w:t>争议焦点：</w:t>
      </w:r>
    </w:p>
    <w:p w:rsidR="003460A0" w:rsidRDefault="00000000">
      <w:pPr>
        <w:pStyle w:val="null5"/>
        <w:spacing w:line="480" w:lineRule="exact"/>
        <w:ind w:firstLineChars="200" w:firstLine="480"/>
        <w:rPr>
          <w:rFonts w:ascii="宋体" w:eastAsia="宋体" w:hAnsi="宋体" w:cs="宋体" w:hint="default"/>
          <w:b/>
          <w:color w:val="000000"/>
        </w:rPr>
      </w:pPr>
      <w:r>
        <w:rPr>
          <w:rFonts w:ascii="宋体" w:eastAsia="宋体" w:hAnsi="宋体" w:cs="宋体"/>
          <w:bCs/>
          <w:color w:val="000000"/>
        </w:rPr>
        <w:t>康保文是否仍具有山东天虹包装彩印有限公司股东资格。</w:t>
      </w:r>
      <w:r>
        <w:rPr>
          <w:rFonts w:ascii="宋体" w:eastAsia="宋体" w:hAnsi="宋体" w:cs="宋体"/>
          <w:bCs/>
          <w:color w:val="000000"/>
        </w:rPr>
        <w:br/>
        <w:t xml:space="preserve">  </w:t>
      </w:r>
      <w:r>
        <w:rPr>
          <w:rFonts w:ascii="宋体" w:eastAsia="宋体" w:hAnsi="宋体" w:cs="宋体"/>
          <w:b/>
          <w:color w:val="000000"/>
        </w:rPr>
        <w:t xml:space="preserve">  裁判要旨：</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1. 康保文通过受让原股东股权成为公司股东并经工商登记，依法具有股东资格；</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2. 康保文离职后未作出转让股权的意思表示，公司未通过减资程序注销其股权，股东资格持续有效；</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3. 2008年10月20日康保文与于德水的股权转让协议非康保文本人签字，协议不成立；</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4. 2006年3月7日及2008年10月20日的相关股东会决议因未通知部分股东或欠缺股东意思表示而不成立，公司应恢复康保文原出资额（83.8万元）及股权比例（7.7%）的工商登记。</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案例8：案例名称：郑某与刘某甲、刘某乙、某饰品（中山）有限公司股权转让纠纷二审案</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lastRenderedPageBreak/>
        <w:t>案号：（2024）粤20民终4997号</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1. 郑某对某饰品（中山）有限公司的持股比例应认定为25%还是50%；</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2. 郑某主张的260万元赔偿额是否有事实和法律依据。</w:t>
      </w:r>
    </w:p>
    <w:p w:rsidR="003460A0"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裁判要旨：</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1. 关于持股比例：某饰品公司2002年增资时，虽涉增资文件中郑某的签名非其本人亲笔，但2003年验资报告确认郑某实际出资15万美元（占注册资本25%），且郑某2019年向公司提交的《查阅公司会计账簿申请书》中自认持股比例为25%，足以证明其知晓并同意增资事实，故其持股比例应认定为25%。</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2. 关于赔偿额：郑某未提交证据证明其主张的损失（包括所谓“违法增资损失”“优先购买权损失”“律师费、保全费”等），且律师费、保全费非必要支出，其主张缺乏事实和法律依据，不予支持。</w:t>
      </w:r>
    </w:p>
    <w:p w:rsidR="003460A0"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3. 关于移送公安机关：本案中刘某甲无权代理签订股权转让合同的行为，通过民事诉讼可获得充分救济，无需移送公安机关处理。</w:t>
      </w:r>
    </w:p>
    <w:sectPr w:rsidR="003460A0">
      <w:footerReference w:type="default" r:id="rId7"/>
      <w:pgSz w:w="11906" w:h="16838"/>
      <w:pgMar w:top="1440" w:right="1361" w:bottom="1134" w:left="1361"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72C8B" w:rsidRDefault="00572C8B">
      <w:r>
        <w:separator/>
      </w:r>
    </w:p>
  </w:endnote>
  <w:endnote w:type="continuationSeparator" w:id="0">
    <w:p w:rsidR="00572C8B" w:rsidRDefault="00572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仿宋_GB2312">
    <w:altName w:val="微软雅黑"/>
    <w:panose1 w:val="020B0604020202020204"/>
    <w:charset w:val="00"/>
    <w:family w:val="auto"/>
    <w:pitch w:val="default"/>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460A0" w:rsidRDefault="00000000">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460A0" w:rsidRDefault="00000000">
                          <w:pPr>
                            <w:pStyle w:val="a3"/>
                          </w:pPr>
                          <w:r>
                            <w:fldChar w:fldCharType="begin"/>
                          </w:r>
                          <w:r>
                            <w:rPr>
                              <w:rFonts w:ascii="仿宋_GB2312" w:eastAsia="仿宋_GB2312" w:hAnsi="仿宋_GB2312" w:cs="仿宋_GB2312"/>
                            </w:rPr>
                            <w:instrText xml:space="preserve"> PAGE  \* MERGEFORMAT </w:instrText>
                          </w:r>
                          <w:r>
                            <w:fldChar w:fldCharType="separate"/>
                          </w:r>
                          <w:r>
                            <w:rPr>
                              <w:rFonts w:ascii="仿宋_GB2312" w:eastAsia="仿宋_GB2312" w:hAnsi="仿宋_GB2312" w:cs="仿宋_GB2312"/>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3AA9362">
                    <w:pPr>
                      <w:pStyle w:val="3"/>
                    </w:pPr>
                    <w:r>
                      <w:fldChar w:fldCharType="begin"/>
                    </w:r>
                    <w:r>
                      <w:rPr>
                        <w:rFonts w:ascii="仿宋_GB2312" w:hAnsi="仿宋_GB2312" w:eastAsia="仿宋_GB2312" w:cs="仿宋_GB2312"/>
                      </w:rPr>
                      <w:instrText xml:space="preserve"> PAGE  \* MERGEFORMAT </w:instrText>
                    </w:r>
                    <w:r>
                      <w:fldChar w:fldCharType="separate"/>
                    </w:r>
                    <w:r>
                      <w:rPr>
                        <w:rFonts w:ascii="仿宋_GB2312" w:hAnsi="仿宋_GB2312" w:eastAsia="仿宋_GB2312" w:cs="仿宋_GB2312"/>
                      </w:rPr>
                      <w:t>1</w:t>
                    </w:r>
                    <w: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72C8B" w:rsidRDefault="00572C8B">
      <w:r>
        <w:separator/>
      </w:r>
    </w:p>
  </w:footnote>
  <w:footnote w:type="continuationSeparator" w:id="0">
    <w:p w:rsidR="00572C8B" w:rsidRDefault="00572C8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oNotDisplayPageBoundaries/>
  <w:embedSystemFonts/>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BFE5A6FE"/>
    <w:rsid w:val="BFE5A6FE"/>
    <w:rsid w:val="FC5F10FF"/>
    <w:rsid w:val="FFEA56FF"/>
    <w:rsid w:val="003460A0"/>
    <w:rsid w:val="00572C8B"/>
    <w:rsid w:val="00DF5A5A"/>
    <w:rsid w:val="0BB27F3E"/>
    <w:rsid w:val="10D26327"/>
    <w:rsid w:val="1106587D"/>
    <w:rsid w:val="11A16A45"/>
    <w:rsid w:val="14700951"/>
    <w:rsid w:val="165C08BD"/>
    <w:rsid w:val="168E458F"/>
    <w:rsid w:val="16F577B6"/>
    <w:rsid w:val="17485BB5"/>
    <w:rsid w:val="175B6261"/>
    <w:rsid w:val="1E64416A"/>
    <w:rsid w:val="1F240CB5"/>
    <w:rsid w:val="21E94D31"/>
    <w:rsid w:val="23066402"/>
    <w:rsid w:val="24D569FD"/>
    <w:rsid w:val="253112AD"/>
    <w:rsid w:val="272A0E33"/>
    <w:rsid w:val="28A40771"/>
    <w:rsid w:val="349E1EE2"/>
    <w:rsid w:val="40FD2E2B"/>
    <w:rsid w:val="4F824D7E"/>
    <w:rsid w:val="52141834"/>
    <w:rsid w:val="58032874"/>
    <w:rsid w:val="5B467D5E"/>
    <w:rsid w:val="5CF01708"/>
    <w:rsid w:val="5EB00496"/>
    <w:rsid w:val="5EEB250F"/>
    <w:rsid w:val="5FAA42E4"/>
    <w:rsid w:val="5FCEC721"/>
    <w:rsid w:val="6ABFE269"/>
    <w:rsid w:val="6BBE72F4"/>
    <w:rsid w:val="6BFF573D"/>
    <w:rsid w:val="6E095813"/>
    <w:rsid w:val="6F2317E3"/>
    <w:rsid w:val="79641838"/>
    <w:rsid w:val="7B652283"/>
    <w:rsid w:val="95FF2D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7D4800EC"/>
  <w15:docId w15:val="{87A255C0-BA67-B847-BE1B-AA9D21CD5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sz w:val="21"/>
      <w:szCs w:val="22"/>
      <w:lang w:eastAsia="en-US"/>
    </w:rPr>
  </w:style>
  <w:style w:type="paragraph" w:styleId="3">
    <w:name w:val="heading 3"/>
    <w:basedOn w:val="a"/>
    <w:next w:val="a"/>
    <w:semiHidden/>
    <w:unhideWhenUsed/>
    <w:qFormat/>
    <w:pPr>
      <w:spacing w:beforeAutospacing="1" w:afterAutospacing="1"/>
      <w:jc w:val="left"/>
      <w:outlineLvl w:val="2"/>
    </w:pPr>
    <w:rPr>
      <w:rFonts w:ascii="宋体" w:hAnsi="宋体" w:hint="eastAsia"/>
      <w:b/>
      <w:bCs/>
      <w:sz w:val="27"/>
      <w:szCs w:val="27"/>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qFormat/>
    <w:pPr>
      <w:spacing w:beforeAutospacing="1" w:afterAutospacing="1"/>
      <w:jc w:val="left"/>
    </w:pPr>
    <w:rPr>
      <w:sz w:val="24"/>
      <w:lang w:eastAsia="zh-CN"/>
    </w:rPr>
  </w:style>
  <w:style w:type="character" w:styleId="a6">
    <w:name w:val="Strong"/>
    <w:basedOn w:val="a0"/>
    <w:qFormat/>
    <w:rPr>
      <w:b/>
    </w:rPr>
  </w:style>
  <w:style w:type="paragraph" w:customStyle="1" w:styleId="null5">
    <w:name w:val="null5"/>
    <w:hidden/>
    <w:qFormat/>
    <w:rPr>
      <w:rFonts w:ascii="仿宋_GB2312" w:eastAsia="仿宋_GB2312" w:hAnsi="仿宋_GB2312" w:cs="仿宋_GB2312" w:hint="eastAsia"/>
      <w:sz w:val="24"/>
      <w:szCs w:val="24"/>
    </w:rPr>
  </w:style>
  <w:style w:type="paragraph" w:customStyle="1" w:styleId="1">
    <w:name w:val="列表段落1"/>
    <w:uiPriority w:val="34"/>
    <w:qFormat/>
    <w:pPr>
      <w:widowControl w:val="0"/>
      <w:ind w:left="720"/>
      <w:contextualSpacing/>
      <w:jc w:val="both"/>
    </w:pPr>
    <w:rPr>
      <w:rFonts w:ascii="等线" w:eastAsia="等线" w:hAnsi="等线" w:cs="黑体"/>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8</Pages>
  <Words>789</Words>
  <Characters>4498</Characters>
  <Application>Microsoft Office Word</Application>
  <DocSecurity>0</DocSecurity>
  <Lines>37</Lines>
  <Paragraphs>10</Paragraphs>
  <ScaleCrop>false</ScaleCrop>
  <Company/>
  <LinksUpToDate>false</LinksUpToDate>
  <CharactersWithSpaces>5277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icou</dc:creator>
  <cp:lastModifiedBy>Microsoft Office User</cp:lastModifiedBy>
  <cp:revision>2</cp:revision>
  <dcterms:created xsi:type="dcterms:W3CDTF">2025-08-17T02:02:00Z</dcterms:created>
  <dcterms:modified xsi:type="dcterms:W3CDTF">2025-12-31T06:54:00Z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EC69CDB9E0144C21AEB2D9BC0CE1009E_13</vt:lpwstr>
  </property>
  <property fmtid="{D5CDD505-2E9C-101B-9397-08002B2CF9AE}" pid="3" name="KSOProductBuildVer">
    <vt:lpwstr>2052-12.1.0.24034</vt:lpwstr>
  </property>
  <property fmtid="{D5CDD505-2E9C-101B-9397-08002B2CF9AE}" pid="4" name="KSOTemplateDocerSaveRecord">
    <vt:lpwstr>eyJoZGlkIjoiMjdhOTZjZGNkYmNiMjkwMjdlNDY3OWNlYWM1OWQ0NTAiLCJ1c2VySWQiOiIzMjUwNjYwMjIifQ==</vt:lpwstr>
  </property>
</Properties>
</file>