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502AD">
      <w:pPr>
        <w:pStyle w:val="3"/>
        <w:pageBreakBefore w:val="0"/>
        <w:wordWrap/>
        <w:overflowPunct/>
        <w:topLinePunct w:val="0"/>
        <w:bidi w:val="0"/>
        <w:adjustRightInd w:val="0"/>
        <w:snapToGrid w:val="0"/>
        <w:spacing w:line="360" w:lineRule="auto"/>
        <w:jc w:val="center"/>
        <w:textAlignment w:val="baseline"/>
        <w:rPr>
          <w:rFonts w:hint="eastAsia" w:ascii="黑体" w:hAnsi="黑体" w:eastAsia="黑体" w:cs="黑体"/>
          <w:color w:val="000000" w:themeColor="text1"/>
          <w:sz w:val="32"/>
          <w:szCs w:val="32"/>
          <w14:textFill>
            <w14:solidFill>
              <w14:schemeClr w14:val="tx1"/>
            </w14:solidFill>
          </w14:textFill>
        </w:rPr>
      </w:pPr>
      <w:bookmarkStart w:id="10" w:name="_GoBack"/>
      <w:bookmarkEnd w:id="10"/>
      <w:bookmarkStart w:id="0" w:name="_Toc14096_WPSOffice_Level2"/>
      <w:bookmarkStart w:id="1" w:name="_Toc27590_WPSOffice_Level2"/>
      <w:bookmarkStart w:id="2" w:name="_Toc25543_WPSOffice_Level2"/>
      <w:bookmarkStart w:id="3" w:name="_Toc18242_WPSOffice_Level2"/>
      <w:bookmarkStart w:id="4" w:name="_Toc11171_WPSOffice_Level2"/>
      <w:r>
        <w:rPr>
          <w:rFonts w:hint="eastAsia" w:ascii="黑体" w:hAnsi="黑体" w:eastAsia="黑体" w:cs="黑体"/>
          <w:color w:val="000000" w:themeColor="text1"/>
          <w:sz w:val="32"/>
          <w:szCs w:val="32"/>
          <w:lang w:val="en-US" w:eastAsia="zh-CN"/>
          <w14:textFill>
            <w14:solidFill>
              <w14:schemeClr w14:val="tx1"/>
            </w14:solidFill>
          </w14:textFill>
        </w:rPr>
        <w:t>2026</w:t>
      </w:r>
      <w:r>
        <w:rPr>
          <w:rFonts w:hint="eastAsia" w:ascii="黑体" w:hAnsi="黑体" w:eastAsia="黑体" w:cs="黑体"/>
          <w:color w:val="000000" w:themeColor="text1"/>
          <w:sz w:val="32"/>
          <w:szCs w:val="32"/>
          <w14:textFill>
            <w14:solidFill>
              <w14:schemeClr w14:val="tx1"/>
            </w14:solidFill>
          </w14:textFill>
        </w:rPr>
        <w:t>商业保险理赔</w:t>
      </w:r>
      <w:bookmarkEnd w:id="0"/>
      <w:bookmarkEnd w:id="1"/>
      <w:bookmarkEnd w:id="2"/>
      <w:bookmarkEnd w:id="3"/>
      <w:bookmarkEnd w:id="4"/>
      <w:r>
        <w:rPr>
          <w:rFonts w:hint="eastAsia" w:ascii="黑体" w:hAnsi="黑体" w:eastAsia="黑体" w:cs="黑体"/>
          <w:color w:val="000000" w:themeColor="text1"/>
          <w:sz w:val="32"/>
          <w:szCs w:val="32"/>
          <w14:textFill>
            <w14:solidFill>
              <w14:schemeClr w14:val="tx1"/>
            </w14:solidFill>
          </w14:textFill>
        </w:rPr>
        <w:t>流程</w:t>
      </w:r>
    </w:p>
    <w:p w14:paraId="6C58C3E0">
      <w:pPr>
        <w:rPr>
          <w:rFonts w:hint="eastAsia"/>
        </w:rPr>
      </w:pPr>
    </w:p>
    <w:p w14:paraId="1E8B5807">
      <w:pPr>
        <w:pStyle w:val="37"/>
        <w:pageBreakBefore w:val="0"/>
        <w:numPr>
          <w:ilvl w:val="0"/>
          <w:numId w:val="1"/>
        </w:numPr>
        <w:wordWrap/>
        <w:overflowPunct/>
        <w:topLinePunct w:val="0"/>
        <w:bidi w:val="0"/>
        <w:adjustRightInd w:val="0"/>
        <w:snapToGrid w:val="0"/>
        <w:spacing w:line="360" w:lineRule="auto"/>
        <w:textAlignment w:val="baseline"/>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理赔流程：</w:t>
      </w:r>
    </w:p>
    <w:p w14:paraId="62BCD2B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
          <w:color w:val="000000" w:themeColor="text1"/>
          <w:sz w:val="24"/>
          <w:szCs w:val="24"/>
          <w14:textFill>
            <w14:solidFill>
              <w14:schemeClr w14:val="tx1"/>
            </w14:solidFill>
          </w14:textFill>
        </w:rPr>
      </w:pPr>
    </w:p>
    <w:p w14:paraId="6E82FAE0">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意外伤害、疾病身故保险理赔流程</w:t>
      </w:r>
    </w:p>
    <w:p w14:paraId="31DF43E3">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于意外伤害、疾病身故案件，被保险人或受益人在发生事故时仅需报案，中国人寿报案热线：95519或项目负责人孙先生13342200116（保险投保和增值服务联系人）。专属服务人员将协助被保险人或受益人整理理赔申请材料并提交至理赔部门，理赔部门在审核无误后进行结案，并将理赔款转账至指定账户。</w:t>
      </w:r>
    </w:p>
    <w:p w14:paraId="5D3C18AE">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3B94FAE2">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意外医疗保险理赔流程</w:t>
      </w:r>
    </w:p>
    <w:p w14:paraId="5D6988AA">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3000元以下的赔案，参保人员可直接通过线上自助理赔通道申请；</w:t>
      </w:r>
    </w:p>
    <w:p w14:paraId="65AABFF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3000元以上的赔案，参保人员可联系服务专员约定时间将协助被保险人整理理赔申请材料并提交至理赔部门，理赔部门在审核无误后进行结案，并将理赔款转账至指定账户。负责人电话13342200116</w:t>
      </w:r>
    </w:p>
    <w:p w14:paraId="6292E1D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7D6133B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
          <w:color w:val="000000" w:themeColor="text1"/>
          <w:sz w:val="24"/>
          <w:szCs w:val="24"/>
          <w14:textFill>
            <w14:solidFill>
              <w14:schemeClr w14:val="tx1"/>
            </w14:solidFill>
          </w14:textFill>
        </w:rPr>
      </w:pPr>
      <w:bookmarkStart w:id="5" w:name="_Toc22758_WPSOffice_Level1"/>
      <w:bookmarkStart w:id="6" w:name="_Toc24060_WPSOffice_Level1"/>
      <w:bookmarkStart w:id="7" w:name="_Toc21982_WPSOffice_Level1"/>
      <w:bookmarkStart w:id="8" w:name="_Toc24151_WPSOffice_Level1"/>
      <w:bookmarkStart w:id="9" w:name="_Toc18881_WPSOffice_Level1"/>
      <w:r>
        <w:rPr>
          <w:rFonts w:hint="eastAsia" w:ascii="宋体" w:hAnsi="宋体" w:eastAsia="宋体" w:cs="宋体"/>
          <w:b/>
          <w:color w:val="000000" w:themeColor="text1"/>
          <w:sz w:val="24"/>
          <w:szCs w:val="24"/>
          <w14:textFill>
            <w14:solidFill>
              <w14:schemeClr w14:val="tx1"/>
            </w14:solidFill>
          </w14:textFill>
        </w:rPr>
        <w:t>理赔承诺时效</w:t>
      </w:r>
    </w:p>
    <w:tbl>
      <w:tblPr>
        <w:tblStyle w:val="15"/>
        <w:tblW w:w="9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7"/>
        <w:gridCol w:w="4583"/>
        <w:gridCol w:w="3255"/>
      </w:tblGrid>
      <w:tr w14:paraId="1E103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1337" w:type="dxa"/>
            <w:shd w:val="clear" w:color="auto" w:fill="FFFFFF" w:themeFill="background1"/>
            <w:vAlign w:val="center"/>
          </w:tcPr>
          <w:p w14:paraId="15098E28">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w:t>
            </w:r>
          </w:p>
        </w:tc>
        <w:tc>
          <w:tcPr>
            <w:tcW w:w="4583" w:type="dxa"/>
            <w:shd w:val="clear" w:color="auto" w:fill="FFFFFF" w:themeFill="background1"/>
            <w:vAlign w:val="center"/>
          </w:tcPr>
          <w:p w14:paraId="2A9F617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内容</w:t>
            </w:r>
          </w:p>
        </w:tc>
        <w:tc>
          <w:tcPr>
            <w:tcW w:w="3255" w:type="dxa"/>
            <w:shd w:val="clear" w:color="auto" w:fill="FFFFFF" w:themeFill="background1"/>
            <w:vAlign w:val="center"/>
          </w:tcPr>
          <w:p w14:paraId="3F6B9A6E">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参考时效</w:t>
            </w:r>
          </w:p>
        </w:tc>
      </w:tr>
      <w:tr w14:paraId="387EC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trPr>
        <w:tc>
          <w:tcPr>
            <w:tcW w:w="1337" w:type="dxa"/>
            <w:vMerge w:val="restart"/>
            <w:vAlign w:val="center"/>
          </w:tcPr>
          <w:p w14:paraId="6E8BB89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理赔</w:t>
            </w:r>
          </w:p>
        </w:tc>
        <w:tc>
          <w:tcPr>
            <w:tcW w:w="4583" w:type="dxa"/>
            <w:vAlign w:val="center"/>
          </w:tcPr>
          <w:p w14:paraId="0134EFCB">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保险责任明确、资料齐全情况下的案件</w:t>
            </w:r>
          </w:p>
        </w:tc>
        <w:tc>
          <w:tcPr>
            <w:tcW w:w="3255" w:type="dxa"/>
            <w:vAlign w:val="center"/>
          </w:tcPr>
          <w:p w14:paraId="66DFF31E">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5个工作日</w:t>
            </w:r>
          </w:p>
        </w:tc>
      </w:tr>
      <w:tr w14:paraId="09B90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5" w:hRule="atLeast"/>
        </w:trPr>
        <w:tc>
          <w:tcPr>
            <w:tcW w:w="1337" w:type="dxa"/>
            <w:vMerge w:val="continue"/>
            <w:vAlign w:val="center"/>
          </w:tcPr>
          <w:p w14:paraId="7251D2C7">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tc>
        <w:tc>
          <w:tcPr>
            <w:tcW w:w="4583" w:type="dxa"/>
            <w:vAlign w:val="center"/>
          </w:tcPr>
          <w:p w14:paraId="48100D5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复杂需调查案件</w:t>
            </w:r>
          </w:p>
        </w:tc>
        <w:tc>
          <w:tcPr>
            <w:tcW w:w="3255" w:type="dxa"/>
            <w:vAlign w:val="center"/>
          </w:tcPr>
          <w:p w14:paraId="2ADD6002">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30个工作日</w:t>
            </w:r>
          </w:p>
        </w:tc>
      </w:tr>
    </w:tbl>
    <w:p w14:paraId="197D230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6C75A6D8">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理赔案件符合保险责任：</w:t>
      </w:r>
    </w:p>
    <w:p w14:paraId="1346E27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1、3000元以下的赔案，可直接通过线上自助理赔通道申请，5个工作日内赔付；线下案件资料齐全后5个工作日内赔付。</w:t>
      </w:r>
    </w:p>
    <w:p w14:paraId="0D1FCE6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2、特殊疑难和有争议的案件，资料齐全30日内给出理赔结论并向被保险人申请理赔时提供的银行卡账户划付理赔款。</w:t>
      </w:r>
    </w:p>
    <w:p w14:paraId="183EAAA0">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3、对不属于保险责任的，保险人自作出核定之日起5日内向受益人发出拒绝给付保险金通知书并说明理由。</w:t>
      </w:r>
    </w:p>
    <w:p w14:paraId="3724881A">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0F862E55">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
          <w:snapToGrid/>
          <w:color w:val="000000" w:themeColor="text1"/>
          <w:kern w:val="0"/>
          <w:sz w:val="24"/>
          <w:szCs w:val="24"/>
          <w14:textFill>
            <w14:solidFill>
              <w14:schemeClr w14:val="tx1"/>
            </w14:solidFill>
          </w14:textFill>
        </w:rPr>
      </w:pPr>
      <w:r>
        <w:rPr>
          <w:rFonts w:hint="eastAsia" w:ascii="宋体" w:hAnsi="宋体" w:eastAsia="宋体" w:cs="宋体"/>
          <w:b/>
          <w:snapToGrid/>
          <w:color w:val="000000" w:themeColor="text1"/>
          <w:kern w:val="0"/>
          <w:sz w:val="24"/>
          <w:szCs w:val="24"/>
          <w14:textFill>
            <w14:solidFill>
              <w14:schemeClr w14:val="tx1"/>
            </w14:solidFill>
          </w14:textFill>
        </w:rPr>
        <w:t>APP线上理赔流程</w:t>
      </w:r>
    </w:p>
    <w:p w14:paraId="29AC2109">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下载中国人寿寿险 APP</w:t>
      </w:r>
    </w:p>
    <w:p w14:paraId="4B7C2BEA">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p>
    <w:p w14:paraId="75AD7B15">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Cs/>
          <w:snapToGrid/>
          <w:color w:val="000000" w:themeColor="text1"/>
          <w:sz w:val="24"/>
          <w:szCs w:val="24"/>
          <w14:textFill>
            <w14:solidFill>
              <w14:schemeClr w14:val="tx1"/>
            </w14:solidFill>
          </w14:textFill>
        </w:rPr>
        <w:drawing>
          <wp:inline distT="0" distB="0" distL="0" distR="0">
            <wp:extent cx="3642995" cy="4472940"/>
            <wp:effectExtent l="0" t="0" r="14605" b="228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642995" cy="4472940"/>
                    </a:xfrm>
                    <a:prstGeom prst="rect">
                      <a:avLst/>
                    </a:prstGeom>
                    <a:noFill/>
                  </pic:spPr>
                </pic:pic>
              </a:graphicData>
            </a:graphic>
          </wp:inline>
        </w:drawing>
      </w:r>
    </w:p>
    <w:p w14:paraId="1B57D4F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139280DF">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扫描二维码下载中国人寿APP、填写身份证号注册、登录APP，既往注册过中国人寿APP的客户无需重新注册，可直接登录。</w:t>
      </w:r>
    </w:p>
    <w:p w14:paraId="76669CC3">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0752BD47">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 xml:space="preserve">注册、登录                        </w:t>
      </w:r>
      <w:r>
        <w:rPr>
          <w:rFonts w:hint="eastAsia" w:ascii="宋体" w:hAnsi="宋体" w:eastAsia="宋体" w:cs="宋体"/>
          <w:color w:val="000000" w:themeColor="text1"/>
          <w:sz w:val="24"/>
          <w:szCs w:val="24"/>
          <w14:textFill>
            <w14:solidFill>
              <w14:schemeClr w14:val="tx1"/>
            </w14:solidFill>
          </w14:textFill>
        </w:rPr>
        <w:t xml:space="preserve">                                                                                   </w:t>
      </w:r>
    </w:p>
    <w:p w14:paraId="0C33F2A3">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snapToGrid/>
          <w:color w:val="000000" w:themeColor="text1"/>
          <w:sz w:val="24"/>
          <w:szCs w:val="24"/>
          <w14:textFill>
            <w14:solidFill>
              <w14:schemeClr w14:val="tx1"/>
            </w14:solidFill>
          </w14:textFill>
        </w:rPr>
        <w:drawing>
          <wp:inline distT="0" distB="0" distL="0" distR="0">
            <wp:extent cx="3476625" cy="7525385"/>
            <wp:effectExtent l="0" t="0" r="3175" b="18415"/>
            <wp:docPr id="2" name="图片 2" descr="C:\Users\ADMINI~1\AppData\Local\Temp\WeChat Files\0a74ec32af667ef5865367b91d6f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WeChat Files\0a74ec32af667ef5865367b91d6fe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76625" cy="7525385"/>
                    </a:xfrm>
                    <a:prstGeom prst="rect">
                      <a:avLst/>
                    </a:prstGeom>
                    <a:noFill/>
                    <a:ln>
                      <a:noFill/>
                    </a:ln>
                  </pic:spPr>
                </pic:pic>
              </a:graphicData>
            </a:graphic>
          </wp:inline>
        </w:drawing>
      </w:r>
    </w:p>
    <w:p w14:paraId="3FF00047">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br w:type="page"/>
      </w:r>
    </w:p>
    <w:p w14:paraId="75476BF2">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点击我的理赔</w:t>
      </w:r>
    </w:p>
    <w:p w14:paraId="5005200B">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snapToGrid/>
          <w:color w:val="000000" w:themeColor="text1"/>
          <w:sz w:val="24"/>
          <w:szCs w:val="24"/>
          <w14:textFill>
            <w14:solidFill>
              <w14:schemeClr w14:val="tx1"/>
            </w14:solidFill>
          </w14:textFill>
        </w:rPr>
        <w:drawing>
          <wp:inline distT="0" distB="0" distL="0" distR="0">
            <wp:extent cx="3723005" cy="8058150"/>
            <wp:effectExtent l="0" t="0" r="0" b="0"/>
            <wp:docPr id="14" name="图片 14" descr="C:\Users\ADMINI~1\AppData\Local\Temp\WeChat Files\8d2a91c4662f2dde3463291bbf42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1\AppData\Local\Temp\WeChat Files\8d2a91c4662f2dde3463291bbf4256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724626" cy="8061027"/>
                    </a:xfrm>
                    <a:prstGeom prst="rect">
                      <a:avLst/>
                    </a:prstGeom>
                    <a:noFill/>
                    <a:ln>
                      <a:noFill/>
                    </a:ln>
                  </pic:spPr>
                </pic:pic>
              </a:graphicData>
            </a:graphic>
          </wp:inline>
        </w:drawing>
      </w:r>
    </w:p>
    <w:p w14:paraId="720528B9">
      <w:pPr>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br w:type="page"/>
      </w:r>
    </w:p>
    <w:p w14:paraId="33DE7185">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drawing>
          <wp:anchor distT="0" distB="0" distL="0" distR="0" simplePos="0" relativeHeight="251659264" behindDoc="1" locked="0" layoutInCell="1" allowOverlap="1">
            <wp:simplePos x="0" y="0"/>
            <wp:positionH relativeFrom="column">
              <wp:posOffset>73660</wp:posOffset>
            </wp:positionH>
            <wp:positionV relativeFrom="paragraph">
              <wp:posOffset>311150</wp:posOffset>
            </wp:positionV>
            <wp:extent cx="2640965" cy="5718810"/>
            <wp:effectExtent l="0" t="0" r="635" b="21590"/>
            <wp:wrapThrough wrapText="bothSides">
              <wp:wrapPolygon>
                <wp:start x="0" y="0"/>
                <wp:lineTo x="0" y="21490"/>
                <wp:lineTo x="21397" y="21490"/>
                <wp:lineTo x="21397" y="0"/>
                <wp:lineTo x="0" y="0"/>
              </wp:wrapPolygon>
            </wp:wrapThrough>
            <wp:docPr id="15" name="图片 15" descr="C:\Users\ADMINI~1\AppData\Local\Temp\WeChat Files\0ef52a811189cc96c2f8e66a569bc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1\AppData\Local\Temp\WeChat Files\0ef52a811189cc96c2f8e66a569bc2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640965" cy="5718810"/>
                    </a:xfrm>
                    <a:prstGeom prst="rect">
                      <a:avLst/>
                    </a:prstGeom>
                    <a:noFill/>
                    <a:ln>
                      <a:noFill/>
                    </a:ln>
                  </pic:spPr>
                </pic:pic>
              </a:graphicData>
            </a:graphic>
          </wp:anchor>
        </w:drawing>
      </w:r>
      <w:r>
        <w:rPr>
          <w:rFonts w:hint="eastAsia" w:ascii="宋体" w:hAnsi="宋体" w:eastAsia="宋体" w:cs="宋体"/>
          <w:bCs/>
          <w:color w:val="000000" w:themeColor="text1"/>
          <w:sz w:val="24"/>
          <w:szCs w:val="24"/>
          <w14:textFill>
            <w14:solidFill>
              <w14:schemeClr w14:val="tx1"/>
            </w14:solidFill>
          </w14:textFill>
        </w:rPr>
        <w:t>点击申请理赔</w:t>
      </w:r>
      <w:r>
        <w:rPr>
          <w:rFonts w:hint="eastAsia" w:hAnsi="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填写出险信息</w:t>
      </w:r>
    </w:p>
    <w:p w14:paraId="7762A9AE">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drawing>
          <wp:anchor distT="0" distB="0" distL="0" distR="0" simplePos="0" relativeHeight="251660288" behindDoc="0" locked="0" layoutInCell="1" allowOverlap="1">
            <wp:simplePos x="0" y="0"/>
            <wp:positionH relativeFrom="column">
              <wp:posOffset>243205</wp:posOffset>
            </wp:positionH>
            <wp:positionV relativeFrom="paragraph">
              <wp:posOffset>59055</wp:posOffset>
            </wp:positionV>
            <wp:extent cx="2607945" cy="5646420"/>
            <wp:effectExtent l="0" t="0" r="8255" b="17780"/>
            <wp:wrapSquare wrapText="bothSides"/>
            <wp:docPr id="16" name="图片 16" descr="C:\Users\ADMINI~1\AppData\Local\Temp\WeChat Files\66354c675309b7627f85223a3daf3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1\AppData\Local\Temp\WeChat Files\66354c675309b7627f85223a3daf3e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07945" cy="5646420"/>
                    </a:xfrm>
                    <a:prstGeom prst="rect">
                      <a:avLst/>
                    </a:prstGeom>
                    <a:noFill/>
                    <a:ln>
                      <a:noFill/>
                    </a:ln>
                  </pic:spPr>
                </pic:pic>
              </a:graphicData>
            </a:graphic>
          </wp:anchor>
        </w:drawing>
      </w:r>
    </w:p>
    <w:p w14:paraId="18C456CE">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lang w:eastAsia="zh-Hans"/>
          <w14:textFill>
            <w14:solidFill>
              <w14:schemeClr w14:val="tx1"/>
            </w14:solidFill>
          </w14:textFill>
        </w:rPr>
      </w:pPr>
    </w:p>
    <w:p w14:paraId="30843610">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drawing>
          <wp:inline distT="0" distB="0" distL="0" distR="0">
            <wp:extent cx="3046095" cy="6593205"/>
            <wp:effectExtent l="0" t="0" r="1905" b="10795"/>
            <wp:docPr id="17" name="图片 17" descr="C:\Users\ADMINI~1\AppData\Local\Temp\WeChat Files\ee4c1ce0b6665cfdc8c8b50706a31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1\AppData\Local\Temp\WeChat Files\ee4c1ce0b6665cfdc8c8b50706a31a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046095" cy="6593205"/>
                    </a:xfrm>
                    <a:prstGeom prst="rect">
                      <a:avLst/>
                    </a:prstGeom>
                    <a:noFill/>
                    <a:ln>
                      <a:noFill/>
                    </a:ln>
                  </pic:spPr>
                </pic:pic>
              </a:graphicData>
            </a:graphic>
          </wp:inline>
        </w:drawing>
      </w:r>
    </w:p>
    <w:p w14:paraId="5B1ACE11">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20741D4D">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填写银行卡信息</w:t>
      </w:r>
    </w:p>
    <w:p w14:paraId="2194CEFE">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drawing>
          <wp:inline distT="0" distB="0" distL="0" distR="0">
            <wp:extent cx="3149600" cy="6338570"/>
            <wp:effectExtent l="0" t="0" r="0" b="11430"/>
            <wp:docPr id="18" name="图片 18" descr="C:\Users\ADMINI~1\AppData\Local\Temp\WeChat Files\30520f67405ef56e3025d3e02fd75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I~1\AppData\Local\Temp\WeChat Files\30520f67405ef56e3025d3e02fd75a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149600" cy="6338570"/>
                    </a:xfrm>
                    <a:prstGeom prst="rect">
                      <a:avLst/>
                    </a:prstGeom>
                    <a:noFill/>
                    <a:ln>
                      <a:noFill/>
                    </a:ln>
                  </pic:spPr>
                </pic:pic>
              </a:graphicData>
            </a:graphic>
          </wp:inline>
        </w:drawing>
      </w:r>
    </w:p>
    <w:p w14:paraId="64D5ACB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25E3AAF7">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填写个人税收声明</w:t>
      </w:r>
    </w:p>
    <w:p w14:paraId="2A227FCD">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drawing>
          <wp:inline distT="0" distB="0" distL="0" distR="0">
            <wp:extent cx="2919730" cy="6052185"/>
            <wp:effectExtent l="0" t="0" r="1270" b="18415"/>
            <wp:docPr id="20" name="图片 20" descr="C:\Users\ADMINI~1\AppData\Local\Temp\WeChat Files\af76ea687a2466dbef0217858fa0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1\AppData\Local\Temp\WeChat Files\af76ea687a2466dbef0217858fa058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919730" cy="6052185"/>
                    </a:xfrm>
                    <a:prstGeom prst="rect">
                      <a:avLst/>
                    </a:prstGeom>
                    <a:noFill/>
                    <a:ln>
                      <a:noFill/>
                    </a:ln>
                  </pic:spPr>
                </pic:pic>
              </a:graphicData>
            </a:graphic>
          </wp:inline>
        </w:drawing>
      </w:r>
    </w:p>
    <w:p w14:paraId="088DAC8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3E213EDE">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br w:type="page"/>
      </w:r>
    </w:p>
    <w:p w14:paraId="1C75937B">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阅读授权书、签字</w:t>
      </w:r>
    </w:p>
    <w:p w14:paraId="65A79E70">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drawing>
          <wp:inline distT="0" distB="0" distL="0" distR="0">
            <wp:extent cx="3285490" cy="7019925"/>
            <wp:effectExtent l="0" t="0" r="16510" b="15875"/>
            <wp:docPr id="22" name="图片 22" descr="C:\Users\ADMINI~1\AppData\Local\Temp\WeChat Files\7d2ada8a0890ee04e6e43d4091ca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1\AppData\Local\Temp\WeChat Files\7d2ada8a0890ee04e6e43d4091ca6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285490" cy="7026521"/>
                    </a:xfrm>
                    <a:prstGeom prst="rect">
                      <a:avLst/>
                    </a:prstGeom>
                    <a:noFill/>
                    <a:ln>
                      <a:noFill/>
                    </a:ln>
                  </pic:spPr>
                </pic:pic>
              </a:graphicData>
            </a:graphic>
          </wp:inline>
        </w:drawing>
      </w:r>
    </w:p>
    <w:p w14:paraId="6A7616D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4F56FC03">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570EEAF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上传理赔资料</w:t>
      </w:r>
    </w:p>
    <w:p w14:paraId="7259B4F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napToGrid/>
          <w:color w:val="000000" w:themeColor="text1"/>
          <w:sz w:val="24"/>
          <w:szCs w:val="24"/>
          <w14:textFill>
            <w14:solidFill>
              <w14:schemeClr w14:val="tx1"/>
            </w14:solidFill>
          </w14:textFill>
        </w:rPr>
        <w:drawing>
          <wp:inline distT="0" distB="0" distL="0" distR="0">
            <wp:extent cx="3326765" cy="7132320"/>
            <wp:effectExtent l="0" t="0" r="6985" b="0"/>
            <wp:docPr id="3" name="图片 3" descr="C:\Users\Lenovo\AppData\Local\Temp\WeChat Files\09168fd433ea62779b1eb17feed1c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Lenovo\AppData\Local\Temp\WeChat Files\09168fd433ea62779b1eb17feed1c7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326765" cy="7132320"/>
                    </a:xfrm>
                    <a:prstGeom prst="rect">
                      <a:avLst/>
                    </a:prstGeom>
                    <a:noFill/>
                    <a:ln>
                      <a:noFill/>
                    </a:ln>
                  </pic:spPr>
                </pic:pic>
              </a:graphicData>
            </a:graphic>
          </wp:inline>
        </w:drawing>
      </w:r>
    </w:p>
    <w:p w14:paraId="76804563">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31F2E94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涉及材料</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1、诊断书2、门诊、住院病历3、医疗收据4、费用清单5、出院小结6、领款人银行卡（工农中建邮）7、身份证</w:t>
      </w:r>
    </w:p>
    <w:p w14:paraId="4FA2EDD0">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659DAB8F">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4EEBAABF">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snapToGrid/>
          <w:color w:val="000000" w:themeColor="text1"/>
          <w:sz w:val="24"/>
          <w:szCs w:val="24"/>
          <w14:textFill>
            <w14:solidFill>
              <w14:schemeClr w14:val="tx1"/>
            </w14:solidFill>
          </w14:textFill>
        </w:rPr>
      </w:pPr>
      <w:r>
        <w:rPr>
          <w:rFonts w:hint="eastAsia" w:ascii="宋体" w:hAnsi="宋体" w:eastAsia="宋体" w:cs="宋体"/>
          <w:snapToGrid/>
          <w:color w:val="000000" w:themeColor="text1"/>
          <w:sz w:val="24"/>
          <w:szCs w:val="24"/>
          <w14:textFill>
            <w14:solidFill>
              <w14:schemeClr w14:val="tx1"/>
            </w14:solidFill>
          </w14:textFill>
        </w:rPr>
        <w:drawing>
          <wp:inline distT="0" distB="0" distL="0" distR="0">
            <wp:extent cx="3577590" cy="7562850"/>
            <wp:effectExtent l="0" t="0" r="3810" b="6350"/>
            <wp:docPr id="25" name="图片 25" descr="C:\Users\ADMINI~1\AppData\Local\Temp\WeChat Files\4137e46ad1587643e3c53de8f8b23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1\AppData\Local\Temp\WeChat Files\4137e46ad1587643e3c53de8f8b23f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577590" cy="7560885"/>
                    </a:xfrm>
                    <a:prstGeom prst="rect">
                      <a:avLst/>
                    </a:prstGeom>
                    <a:noFill/>
                    <a:ln>
                      <a:noFill/>
                    </a:ln>
                  </pic:spPr>
                </pic:pic>
              </a:graphicData>
            </a:graphic>
          </wp:inline>
        </w:drawing>
      </w:r>
    </w:p>
    <w:p w14:paraId="42024172">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snapToGrid/>
          <w:color w:val="000000" w:themeColor="text1"/>
          <w:sz w:val="24"/>
          <w:szCs w:val="24"/>
          <w14:textFill>
            <w14:solidFill>
              <w14:schemeClr w14:val="tx1"/>
            </w14:solidFill>
          </w14:textFill>
        </w:rPr>
      </w:pPr>
      <w:r>
        <w:rPr>
          <w:rFonts w:hint="eastAsia" w:ascii="宋体" w:hAnsi="宋体" w:eastAsia="宋体" w:cs="宋体"/>
          <w:snapToGrid/>
          <w:color w:val="000000" w:themeColor="text1"/>
          <w:sz w:val="24"/>
          <w:szCs w:val="24"/>
          <w14:textFill>
            <w14:solidFill>
              <w14:schemeClr w14:val="tx1"/>
            </w14:solidFill>
          </w14:textFill>
        </w:rPr>
        <w:br w:type="page"/>
      </w:r>
    </w:p>
    <w:p w14:paraId="6B95870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提交后完成自助理赔</w:t>
      </w:r>
    </w:p>
    <w:p w14:paraId="6269345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napToGrid/>
          <w:color w:val="000000" w:themeColor="text1"/>
          <w:sz w:val="24"/>
          <w:szCs w:val="24"/>
          <w14:textFill>
            <w14:solidFill>
              <w14:schemeClr w14:val="tx1"/>
            </w14:solidFill>
          </w14:textFill>
        </w:rPr>
        <w:drawing>
          <wp:inline distT="0" distB="0" distL="0" distR="0">
            <wp:extent cx="3551555" cy="7524115"/>
            <wp:effectExtent l="0" t="0" r="4445" b="19685"/>
            <wp:docPr id="26" name="图片 26" descr="C:\Users\ADMINI~1\AppData\Local\Temp\WeChat Files\fc02c93d54f57a229aee79b0e1a5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ADMINI~1\AppData\Local\Temp\WeChat Files\fc02c93d54f57a229aee79b0e1a501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551555" cy="7529254"/>
                    </a:xfrm>
                    <a:prstGeom prst="rect">
                      <a:avLst/>
                    </a:prstGeom>
                    <a:noFill/>
                    <a:ln>
                      <a:noFill/>
                    </a:ln>
                  </pic:spPr>
                </pic:pic>
              </a:graphicData>
            </a:graphic>
          </wp:inline>
        </w:drawing>
      </w:r>
    </w:p>
    <w:p w14:paraId="7909B48F">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46B0E9F0">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117F131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二、理赔所需资料</w:t>
      </w:r>
    </w:p>
    <w:p w14:paraId="530BFD78">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以下为常见情况所需单据，此外为确认保险事故的性质、原因，保险公司有权要求投保人或被保险人提供有关的其</w:t>
      </w:r>
      <w:r>
        <w:rPr>
          <w:rFonts w:hint="eastAsia" w:hAnsi="宋体" w:cs="宋体"/>
          <w:color w:val="000000" w:themeColor="text1"/>
          <w:sz w:val="24"/>
          <w:szCs w:val="24"/>
          <w:lang w:val="en-US" w:eastAsia="zh-CN"/>
          <w14:textFill>
            <w14:solidFill>
              <w14:schemeClr w14:val="tx1"/>
            </w14:solidFill>
          </w14:textFill>
        </w:rPr>
        <w:t>他</w:t>
      </w:r>
      <w:r>
        <w:rPr>
          <w:rFonts w:hint="eastAsia" w:ascii="宋体" w:hAnsi="宋体" w:eastAsia="宋体" w:cs="宋体"/>
          <w:color w:val="000000" w:themeColor="text1"/>
          <w:sz w:val="24"/>
          <w:szCs w:val="24"/>
          <w14:textFill>
            <w14:solidFill>
              <w14:schemeClr w14:val="tx1"/>
            </w14:solidFill>
          </w14:textFill>
        </w:rPr>
        <w:t>证明和材料。</w:t>
      </w:r>
    </w:p>
    <w:tbl>
      <w:tblPr>
        <w:tblStyle w:val="15"/>
        <w:tblpPr w:leftFromText="180" w:rightFromText="180" w:vertAnchor="text" w:horzAnchor="page" w:tblpX="2138" w:tblpY="88"/>
        <w:tblOverlap w:val="never"/>
        <w:tblW w:w="84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0"/>
        <w:gridCol w:w="2542"/>
        <w:gridCol w:w="3468"/>
      </w:tblGrid>
      <w:tr w14:paraId="74A80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400" w:type="dxa"/>
            <w:shd w:val="clear" w:color="auto" w:fill="FFFFFF" w:themeFill="background1"/>
            <w:vAlign w:val="center"/>
          </w:tcPr>
          <w:p w14:paraId="0E07D39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申请项目</w:t>
            </w:r>
          </w:p>
        </w:tc>
        <w:tc>
          <w:tcPr>
            <w:tcW w:w="2542" w:type="dxa"/>
            <w:shd w:val="clear" w:color="auto" w:fill="FFFFFF" w:themeFill="background1"/>
            <w:vAlign w:val="center"/>
          </w:tcPr>
          <w:p w14:paraId="5D4C158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应备文件</w:t>
            </w:r>
          </w:p>
        </w:tc>
        <w:tc>
          <w:tcPr>
            <w:tcW w:w="3468" w:type="dxa"/>
            <w:shd w:val="clear" w:color="auto" w:fill="FFFFFF" w:themeFill="background1"/>
            <w:vAlign w:val="center"/>
          </w:tcPr>
          <w:p w14:paraId="4AE2AA3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理赔单证</w:t>
            </w:r>
          </w:p>
        </w:tc>
      </w:tr>
      <w:tr w14:paraId="4DD97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0" w:hRule="atLeast"/>
        </w:trPr>
        <w:tc>
          <w:tcPr>
            <w:tcW w:w="2400" w:type="dxa"/>
            <w:vAlign w:val="center"/>
          </w:tcPr>
          <w:p w14:paraId="6CD2AE60">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意外伤害医疗</w:t>
            </w:r>
          </w:p>
        </w:tc>
        <w:tc>
          <w:tcPr>
            <w:tcW w:w="2542" w:type="dxa"/>
            <w:vAlign w:val="center"/>
          </w:tcPr>
          <w:p w14:paraId="69787975">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1.2.3.4.5.6.9.12.15</w:t>
            </w:r>
          </w:p>
        </w:tc>
        <w:tc>
          <w:tcPr>
            <w:tcW w:w="3468" w:type="dxa"/>
            <w:vMerge w:val="restart"/>
            <w:vAlign w:val="center"/>
          </w:tcPr>
          <w:p w14:paraId="4DD85C9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理赔申请书（线下理赔）</w:t>
            </w:r>
          </w:p>
          <w:p w14:paraId="0064D398">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保险单（团险个人可暂不提供）</w:t>
            </w:r>
          </w:p>
          <w:p w14:paraId="37160D5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被保险人身份证明</w:t>
            </w:r>
          </w:p>
          <w:p w14:paraId="64099E83">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诊断证明/出院小结</w:t>
            </w:r>
          </w:p>
          <w:p w14:paraId="6012F7C2">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住院病历资料、住院费用发票原件及费用明细清单</w:t>
            </w:r>
          </w:p>
          <w:p w14:paraId="52B7A418">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门/急诊病历/手册、门诊发票原件及费用清单或处方</w:t>
            </w:r>
          </w:p>
          <w:p w14:paraId="6A1F05A8">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病理报告及其他各项检查报告</w:t>
            </w:r>
          </w:p>
          <w:p w14:paraId="4328EF2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伤残鉴定书</w:t>
            </w:r>
          </w:p>
          <w:p w14:paraId="146C4F77">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意外事故证明（交通事故须提供交通管理部门出具的交通事故责任认定书；工伤事故须提供相关单位的工伤证明等）</w:t>
            </w:r>
          </w:p>
          <w:p w14:paraId="1A3151F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死亡证明书、户籍注销证明，殡葬证明（非必须提供）</w:t>
            </w:r>
          </w:p>
          <w:p w14:paraId="71221A03">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11.</w:t>
            </w:r>
            <w:r>
              <w:rPr>
                <w:rFonts w:hint="eastAsia" w:ascii="宋体" w:hAnsi="宋体" w:eastAsia="宋体" w:cs="宋体"/>
                <w:color w:val="000000" w:themeColor="text1"/>
                <w:sz w:val="24"/>
                <w:szCs w:val="24"/>
                <w14:textFill>
                  <w14:solidFill>
                    <w14:schemeClr w14:val="tx1"/>
                  </w14:solidFill>
                </w14:textFill>
              </w:rPr>
              <w:t>用以确定申请人身份的相关证明</w:t>
            </w:r>
          </w:p>
          <w:p w14:paraId="444CE88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t>受益人（监护人）银行账户复印件</w:t>
            </w:r>
          </w:p>
          <w:p w14:paraId="5580DA8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13.</w:t>
            </w:r>
            <w:r>
              <w:rPr>
                <w:rFonts w:hint="eastAsia" w:ascii="宋体" w:hAnsi="宋体" w:eastAsia="宋体" w:cs="宋体"/>
                <w:color w:val="000000" w:themeColor="text1"/>
                <w:sz w:val="24"/>
                <w:szCs w:val="24"/>
                <w14:textFill>
                  <w14:solidFill>
                    <w14:schemeClr w14:val="tx1"/>
                  </w14:solidFill>
                </w14:textFill>
              </w:rPr>
              <w:t>公共帐户使用授权书</w:t>
            </w:r>
          </w:p>
          <w:p w14:paraId="4B4B7CCD">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14.</w:t>
            </w:r>
            <w:r>
              <w:rPr>
                <w:rFonts w:hint="eastAsia" w:ascii="宋体" w:hAnsi="宋体" w:eastAsia="宋体" w:cs="宋体"/>
                <w:color w:val="000000" w:themeColor="text1"/>
                <w:sz w:val="24"/>
                <w:szCs w:val="24"/>
                <w14:textFill>
                  <w14:solidFill>
                    <w14:schemeClr w14:val="tx1"/>
                  </w14:solidFill>
                </w14:textFill>
              </w:rPr>
              <w:t>被保险人护照、境外急性病或意外相关证明资料、境外身故使领馆证明</w:t>
            </w:r>
          </w:p>
          <w:p w14:paraId="29FF9A9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val="en-US" w:eastAsia="zh-CN"/>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t>其他理赔所需要的材料</w:t>
            </w:r>
          </w:p>
        </w:tc>
      </w:tr>
      <w:tr w14:paraId="3DAB3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6" w:hRule="atLeast"/>
        </w:trPr>
        <w:tc>
          <w:tcPr>
            <w:tcW w:w="2400" w:type="dxa"/>
            <w:vAlign w:val="center"/>
          </w:tcPr>
          <w:p w14:paraId="2B583B28">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意外身故</w:t>
            </w:r>
          </w:p>
        </w:tc>
        <w:tc>
          <w:tcPr>
            <w:tcW w:w="2542" w:type="dxa"/>
            <w:vAlign w:val="center"/>
          </w:tcPr>
          <w:p w14:paraId="72E2290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1.2.9.10.11.12.15</w:t>
            </w:r>
          </w:p>
        </w:tc>
        <w:tc>
          <w:tcPr>
            <w:tcW w:w="3468" w:type="dxa"/>
            <w:vMerge w:val="continue"/>
            <w:vAlign w:val="center"/>
          </w:tcPr>
          <w:p w14:paraId="694CAD8F">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tc>
      </w:tr>
      <w:tr w14:paraId="5513E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4" w:hRule="atLeast"/>
        </w:trPr>
        <w:tc>
          <w:tcPr>
            <w:tcW w:w="2400" w:type="dxa"/>
            <w:vAlign w:val="center"/>
          </w:tcPr>
          <w:p w14:paraId="6BEFD63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疾病身故</w:t>
            </w:r>
          </w:p>
        </w:tc>
        <w:tc>
          <w:tcPr>
            <w:tcW w:w="2542" w:type="dxa"/>
            <w:vAlign w:val="center"/>
          </w:tcPr>
          <w:p w14:paraId="6AF97DB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1.2.10.11.12.15</w:t>
            </w:r>
          </w:p>
        </w:tc>
        <w:tc>
          <w:tcPr>
            <w:tcW w:w="3468" w:type="dxa"/>
            <w:vMerge w:val="continue"/>
            <w:vAlign w:val="center"/>
          </w:tcPr>
          <w:p w14:paraId="0058432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tc>
      </w:tr>
      <w:tr w14:paraId="26943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trPr>
        <w:tc>
          <w:tcPr>
            <w:tcW w:w="2400" w:type="dxa"/>
            <w:vAlign w:val="center"/>
          </w:tcPr>
          <w:p w14:paraId="77E95402">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意外残疾</w:t>
            </w:r>
          </w:p>
        </w:tc>
        <w:tc>
          <w:tcPr>
            <w:tcW w:w="2542" w:type="dxa"/>
            <w:vAlign w:val="center"/>
          </w:tcPr>
          <w:p w14:paraId="4D48CBAF">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1.2.3.8.9.12.15</w:t>
            </w:r>
          </w:p>
        </w:tc>
        <w:tc>
          <w:tcPr>
            <w:tcW w:w="3468" w:type="dxa"/>
            <w:vMerge w:val="continue"/>
            <w:vAlign w:val="center"/>
          </w:tcPr>
          <w:p w14:paraId="7CBAD542">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tc>
      </w:tr>
    </w:tbl>
    <w:p w14:paraId="1F65BBF3">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Cs/>
          <w:color w:val="000000" w:themeColor="text1"/>
          <w:sz w:val="24"/>
          <w:szCs w:val="24"/>
          <w14:textFill>
            <w14:solidFill>
              <w14:schemeClr w14:val="tx1"/>
            </w14:solidFill>
          </w14:textFill>
        </w:rPr>
      </w:pPr>
    </w:p>
    <w:p w14:paraId="199546CD">
      <w:pPr>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br w:type="page"/>
      </w:r>
    </w:p>
    <w:p w14:paraId="332E3A78">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三、中国人寿保险股份有限公司大连分公司  202</w:t>
      </w:r>
      <w:r>
        <w:rPr>
          <w:rFonts w:hint="eastAsia" w:hAnsi="宋体" w:cs="宋体"/>
          <w:b/>
          <w:color w:val="000000" w:themeColor="text1"/>
          <w:sz w:val="24"/>
          <w:szCs w:val="24"/>
          <w:lang w:val="en-US" w:eastAsia="zh-CN"/>
          <w14:textFill>
            <w14:solidFill>
              <w14:schemeClr w14:val="tx1"/>
            </w14:solidFill>
          </w14:textFill>
        </w:rPr>
        <w:t>6</w:t>
      </w:r>
      <w:r>
        <w:rPr>
          <w:rFonts w:hint="eastAsia" w:ascii="宋体" w:hAnsi="宋体" w:eastAsia="宋体" w:cs="宋体"/>
          <w:b/>
          <w:color w:val="000000" w:themeColor="text1"/>
          <w:sz w:val="24"/>
          <w:szCs w:val="24"/>
          <w14:textFill>
            <w14:solidFill>
              <w14:schemeClr w14:val="tx1"/>
            </w14:solidFill>
          </w14:textFill>
        </w:rPr>
        <w:t>年大连定点医院名单（共25家）：</w:t>
      </w:r>
    </w:p>
    <w:p w14:paraId="0F85D12F">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大连医科大学附属第一医院 </w:t>
      </w:r>
    </w:p>
    <w:p w14:paraId="1BB6A569">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大连医科大学附属第二医院</w:t>
      </w:r>
    </w:p>
    <w:p w14:paraId="48F45C80">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大连市中心医院 </w:t>
      </w:r>
    </w:p>
    <w:p w14:paraId="618D6C8B">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大连市第二人民医院</w:t>
      </w:r>
    </w:p>
    <w:p w14:paraId="098A0CBB">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大连市友谊医院 </w:t>
      </w:r>
    </w:p>
    <w:p w14:paraId="10171B8F">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大连市第三人民医院</w:t>
      </w:r>
    </w:p>
    <w:p w14:paraId="6188E43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大连市第四人民医院 </w:t>
      </w:r>
    </w:p>
    <w:p w14:paraId="5BA7CC59">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大连市第五人民医院</w:t>
      </w:r>
    </w:p>
    <w:p w14:paraId="4F575F47">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大连市第六人民医院 </w:t>
      </w:r>
    </w:p>
    <w:p w14:paraId="65EF04AD">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大连市儿童医院</w:t>
      </w:r>
    </w:p>
    <w:p w14:paraId="1D93518B">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大连市妇产医院 </w:t>
      </w:r>
    </w:p>
    <w:p w14:paraId="37ABFC2A">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大连大学附属中山医院</w:t>
      </w:r>
    </w:p>
    <w:p w14:paraId="5BF5B9B6">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旅顺口区人民医院 </w:t>
      </w:r>
    </w:p>
    <w:p w14:paraId="7CE26EE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旅顺口区中医医院</w:t>
      </w:r>
    </w:p>
    <w:p w14:paraId="15C49FEF">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大连大学附属新华医院 </w:t>
      </w:r>
    </w:p>
    <w:p w14:paraId="33384068">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大连市中医医院</w:t>
      </w:r>
    </w:p>
    <w:p w14:paraId="100BB28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中国人民解放军联勤保障部队第 967 医院 </w:t>
      </w:r>
    </w:p>
    <w:p w14:paraId="2BCD536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大连市金州区第一人民医院</w:t>
      </w:r>
    </w:p>
    <w:p w14:paraId="7F04F572">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中国医科大学附属盛京医院大连医院 </w:t>
      </w:r>
    </w:p>
    <w:p w14:paraId="7C49199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庄河市中心医院</w:t>
      </w:r>
    </w:p>
    <w:p w14:paraId="1B6877FA">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大连市旅顺口区人民医院 </w:t>
      </w:r>
    </w:p>
    <w:p w14:paraId="11CF608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普兰店市中心医院</w:t>
      </w:r>
    </w:p>
    <w:p w14:paraId="5BB5EE8F">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瓦房店第二医院有限公司 </w:t>
      </w:r>
    </w:p>
    <w:p w14:paraId="6D8DB88A">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瓦房店第三医院有限责任公司</w:t>
      </w:r>
    </w:p>
    <w:p w14:paraId="70ED891B">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长海县人民医院</w:t>
      </w:r>
    </w:p>
    <w:p w14:paraId="63B1BE21">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34D7D26E">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Hans"/>
          <w14:textFill>
            <w14:solidFill>
              <w14:schemeClr w14:val="tx1"/>
            </w14:solidFill>
          </w14:textFill>
        </w:rPr>
        <w:t>注：中国人寿保险股份有限</w:t>
      </w:r>
      <w:r>
        <w:rPr>
          <w:rFonts w:hint="eastAsia" w:ascii="宋体" w:hAnsi="宋体" w:eastAsia="宋体" w:cs="宋体"/>
          <w:color w:val="000000" w:themeColor="text1"/>
          <w:sz w:val="24"/>
          <w:szCs w:val="24"/>
          <w14:textFill>
            <w14:solidFill>
              <w14:schemeClr w14:val="tx1"/>
            </w14:solidFill>
          </w14:textFill>
        </w:rPr>
        <w:t>公司保留对定点医院进行变更的权利！</w:t>
      </w:r>
    </w:p>
    <w:bookmarkEnd w:id="5"/>
    <w:bookmarkEnd w:id="6"/>
    <w:bookmarkEnd w:id="7"/>
    <w:bookmarkEnd w:id="8"/>
    <w:bookmarkEnd w:id="9"/>
    <w:p w14:paraId="56B082A7">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4C911F74">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7670765C">
      <w:pPr>
        <w:pStyle w:val="37"/>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p w14:paraId="5379A3BA">
      <w:pPr>
        <w:pStyle w:val="37"/>
        <w:pageBreakBefore w:val="0"/>
        <w:wordWrap/>
        <w:overflowPunct/>
        <w:topLinePunct w:val="0"/>
        <w:bidi w:val="0"/>
        <w:adjustRightInd w:val="0"/>
        <w:snapToGrid w:val="0"/>
        <w:spacing w:line="360" w:lineRule="auto"/>
        <w:ind w:firstLine="3600" w:firstLineChars="1500"/>
        <w:jc w:val="right"/>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项目负责人：孙先生  13342200116</w:t>
      </w:r>
    </w:p>
    <w:p w14:paraId="7C8AFD98">
      <w:pPr>
        <w:pStyle w:val="37"/>
        <w:pageBreakBefore w:val="0"/>
        <w:wordWrap/>
        <w:overflowPunct/>
        <w:topLinePunct w:val="0"/>
        <w:bidi w:val="0"/>
        <w:adjustRightInd w:val="0"/>
        <w:snapToGrid w:val="0"/>
        <w:spacing w:line="360" w:lineRule="auto"/>
        <w:ind w:firstLine="4920" w:firstLineChars="2050"/>
        <w:jc w:val="right"/>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微信 </w:t>
      </w:r>
      <w:r>
        <w:rPr>
          <w:rFonts w:hint="eastAsia" w:ascii="宋体" w:hAnsi="宋体" w:eastAsia="宋体" w:cs="宋体"/>
          <w:color w:val="000000" w:themeColor="text1"/>
          <w:sz w:val="24"/>
          <w:szCs w:val="24"/>
          <w:lang w:eastAsia="zh-Hans"/>
          <w14:textFill>
            <w14:solidFill>
              <w14:schemeClr w14:val="tx1"/>
            </w14:solidFill>
          </w14:textFill>
        </w:rPr>
        <w:t xml:space="preserve">ID  </w:t>
      </w:r>
      <w:r>
        <w:rPr>
          <w:rFonts w:hint="eastAsia" w:ascii="宋体" w:hAnsi="宋体" w:eastAsia="宋体" w:cs="宋体"/>
          <w:color w:val="000000" w:themeColor="text1"/>
          <w:sz w:val="24"/>
          <w:szCs w:val="24"/>
          <w14:textFill>
            <w14:solidFill>
              <w14:schemeClr w14:val="tx1"/>
            </w14:solidFill>
          </w14:textFill>
        </w:rPr>
        <w:t>13342200116</w:t>
      </w:r>
    </w:p>
    <w:p w14:paraId="7B2FA70D">
      <w:pPr>
        <w:pStyle w:val="37"/>
        <w:pageBreakBefore w:val="0"/>
        <w:wordWrap/>
        <w:overflowPunct/>
        <w:topLinePunct w:val="0"/>
        <w:bidi w:val="0"/>
        <w:adjustRightInd w:val="0"/>
        <w:snapToGrid w:val="0"/>
        <w:spacing w:line="360" w:lineRule="auto"/>
        <w:ind w:firstLine="6000" w:firstLineChars="2500"/>
        <w:jc w:val="right"/>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或48349666</w:t>
      </w:r>
    </w:p>
    <w:p w14:paraId="6E28A138">
      <w:pPr>
        <w:pStyle w:val="37"/>
        <w:pageBreakBefore w:val="0"/>
        <w:wordWrap/>
        <w:overflowPunct/>
        <w:topLinePunct w:val="0"/>
        <w:bidi w:val="0"/>
        <w:adjustRightInd w:val="0"/>
        <w:snapToGrid w:val="0"/>
        <w:spacing w:line="360" w:lineRule="auto"/>
        <w:ind w:firstLine="3360" w:firstLineChars="1400"/>
        <w:jc w:val="right"/>
        <w:textAlignment w:val="baseline"/>
        <w:rPr>
          <w:rFonts w:hint="eastAsia" w:ascii="宋体" w:hAnsi="宋体" w:eastAsia="宋体" w:cs="宋体"/>
          <w:bCs/>
          <w:color w:val="000000" w:themeColor="text1"/>
          <w:sz w:val="24"/>
          <w:szCs w:val="24"/>
          <w14:textFill>
            <w14:solidFill>
              <w14:schemeClr w14:val="tx1"/>
            </w14:solidFill>
          </w14:textFill>
        </w:rPr>
      </w:pPr>
    </w:p>
    <w:p w14:paraId="39409817">
      <w:pPr>
        <w:pStyle w:val="37"/>
        <w:pageBreakBefore w:val="0"/>
        <w:wordWrap/>
        <w:overflowPunct/>
        <w:topLinePunct w:val="0"/>
        <w:bidi w:val="0"/>
        <w:adjustRightInd w:val="0"/>
        <w:snapToGrid w:val="0"/>
        <w:spacing w:line="360" w:lineRule="auto"/>
        <w:ind w:firstLine="3360" w:firstLineChars="1400"/>
        <w:jc w:val="right"/>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中国人寿保险股份有限公司大连分公司</w:t>
      </w:r>
    </w:p>
    <w:p w14:paraId="7E178BE9">
      <w:pPr>
        <w:pStyle w:val="37"/>
        <w:pageBreakBefore w:val="0"/>
        <w:wordWrap/>
        <w:overflowPunct/>
        <w:topLinePunct w:val="0"/>
        <w:bidi w:val="0"/>
        <w:adjustRightInd w:val="0"/>
        <w:snapToGrid w:val="0"/>
        <w:spacing w:line="360" w:lineRule="auto"/>
        <w:ind w:firstLine="6000" w:firstLineChars="2500"/>
        <w:jc w:val="right"/>
        <w:textAlignment w:val="baseline"/>
        <w:rPr>
          <w:rFonts w:hint="eastAsia" w:ascii="宋体" w:hAnsi="宋体" w:eastAsia="宋体" w:cs="宋体"/>
          <w:bCs/>
          <w:color w:val="000000" w:themeColor="text1"/>
          <w:sz w:val="24"/>
          <w:szCs w:val="24"/>
          <w:lang w:eastAsia="zh-Hans"/>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202</w:t>
      </w:r>
      <w:r>
        <w:rPr>
          <w:rFonts w:hint="eastAsia" w:ascii="宋体" w:hAnsi="宋体" w:eastAsia="宋体" w:cs="宋体"/>
          <w:bCs/>
          <w:color w:val="000000" w:themeColor="text1"/>
          <w:sz w:val="24"/>
          <w:szCs w:val="24"/>
          <w:lang w:val="en-US" w:eastAsia="zh-CN"/>
          <w14:textFill>
            <w14:solidFill>
              <w14:schemeClr w14:val="tx1"/>
            </w14:solidFill>
          </w14:textFill>
        </w:rPr>
        <w:t>6</w:t>
      </w:r>
      <w:r>
        <w:rPr>
          <w:rFonts w:hint="eastAsia" w:ascii="宋体" w:hAnsi="宋体" w:eastAsia="宋体" w:cs="宋体"/>
          <w:bCs/>
          <w:color w:val="000000" w:themeColor="text1"/>
          <w:sz w:val="24"/>
          <w:szCs w:val="24"/>
          <w14:textFill>
            <w14:solidFill>
              <w14:schemeClr w14:val="tx1"/>
            </w14:solidFill>
          </w14:textFill>
        </w:rPr>
        <w:t xml:space="preserve"> 年 </w:t>
      </w:r>
      <w:r>
        <w:rPr>
          <w:rFonts w:hint="eastAsia" w:ascii="宋体" w:hAnsi="宋体" w:eastAsia="宋体" w:cs="宋体"/>
          <w:bCs/>
          <w:color w:val="000000" w:themeColor="text1"/>
          <w:sz w:val="24"/>
          <w:szCs w:val="24"/>
          <w:lang w:val="en-US" w:eastAsia="zh-CN"/>
          <w14:textFill>
            <w14:solidFill>
              <w14:schemeClr w14:val="tx1"/>
            </w14:solidFill>
          </w14:textFill>
        </w:rPr>
        <w:t>7</w:t>
      </w:r>
      <w:r>
        <w:rPr>
          <w:rFonts w:hint="eastAsia" w:ascii="宋体" w:hAnsi="宋体" w:eastAsia="宋体" w:cs="宋体"/>
          <w:bCs/>
          <w:color w:val="000000" w:themeColor="text1"/>
          <w:sz w:val="24"/>
          <w:szCs w:val="24"/>
          <w14:textFill>
            <w14:solidFill>
              <w14:schemeClr w14:val="tx1"/>
            </w14:solidFill>
          </w14:textFill>
        </w:rPr>
        <w:t xml:space="preserve"> </w:t>
      </w:r>
      <w:r>
        <w:rPr>
          <w:rFonts w:hint="eastAsia" w:ascii="宋体" w:hAnsi="宋体" w:eastAsia="宋体" w:cs="宋体"/>
          <w:bCs/>
          <w:color w:val="000000" w:themeColor="text1"/>
          <w:sz w:val="24"/>
          <w:szCs w:val="24"/>
          <w:lang w:eastAsia="zh-Hans"/>
          <w14:textFill>
            <w14:solidFill>
              <w14:schemeClr w14:val="tx1"/>
            </w14:solidFill>
          </w14:textFill>
        </w:rPr>
        <w:t>月</w:t>
      </w:r>
    </w:p>
    <w:p w14:paraId="07382A4C">
      <w:pPr>
        <w:pageBreakBefore w:val="0"/>
        <w:wordWrap/>
        <w:overflowPunct/>
        <w:topLinePunct w:val="0"/>
        <w:bidi w:val="0"/>
        <w:adjustRightInd w:val="0"/>
        <w:snapToGrid w:val="0"/>
        <w:spacing w:line="360" w:lineRule="auto"/>
        <w:textAlignment w:val="baseline"/>
        <w:rPr>
          <w:rFonts w:hint="eastAsia" w:ascii="宋体" w:hAnsi="宋体" w:eastAsia="宋体" w:cs="宋体"/>
          <w:color w:val="000000" w:themeColor="text1"/>
          <w:sz w:val="24"/>
          <w:szCs w:val="24"/>
          <w14:textFill>
            <w14:solidFill>
              <w14:schemeClr w14:val="tx1"/>
            </w14:solidFill>
          </w14:textFill>
        </w:rPr>
      </w:pPr>
    </w:p>
    <w:sectPr>
      <w:headerReference r:id="rId3" w:type="default"/>
      <w:footerReference r:id="rId4" w:type="default"/>
      <w:pgSz w:w="11907" w:h="16841"/>
      <w:pgMar w:top="1440" w:right="1588" w:bottom="1440" w:left="1588"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398426"/>
    </w:sdtPr>
    <w:sdtContent>
      <w:p w14:paraId="2EDC4309">
        <w:pPr>
          <w:pStyle w:val="11"/>
          <w:jc w:val="center"/>
        </w:pPr>
        <w:r>
          <w:fldChar w:fldCharType="begin"/>
        </w:r>
        <w:r>
          <w:instrText xml:space="preserve"> PAGE   \* MERGEFORMAT </w:instrText>
        </w:r>
        <w:r>
          <w:fldChar w:fldCharType="separate"/>
        </w:r>
        <w:r>
          <w:rPr>
            <w:lang w:val="zh-CN"/>
          </w:rPr>
          <w:t>16</w:t>
        </w:r>
        <w:r>
          <w:rPr>
            <w:lang w:val="zh-CN"/>
          </w:rPr>
          <w:fldChar w:fldCharType="end"/>
        </w:r>
      </w:p>
      <w:p w14:paraId="53047B7F">
        <w:pPr>
          <w:pStyle w:val="11"/>
          <w:jc w:val="center"/>
        </w:pPr>
      </w:p>
      <w:p w14:paraId="6E029F0F">
        <w:pPr>
          <w:pStyle w:val="11"/>
        </w:pP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ECAE7">
    <w:pPr>
      <w:pStyle w:val="12"/>
      <w:pBdr>
        <w:bottom w:val="none" w:color="auto" w:sz="0" w:space="2"/>
      </w:pBdr>
      <w:ind w:firstLine="360"/>
      <w:jc w:val="both"/>
    </w:pPr>
    <w:r>
      <w:rPr>
        <w:rFonts w:hint="eastAsia" w:ascii="宋体" w:hAnsi="宋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AD60F6"/>
    <w:multiLevelType w:val="multilevel"/>
    <w:tmpl w:val="1FAD60F6"/>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C34"/>
    <w:rsid w:val="000E483B"/>
    <w:rsid w:val="002E13D4"/>
    <w:rsid w:val="00477A51"/>
    <w:rsid w:val="00477C6C"/>
    <w:rsid w:val="008A4C34"/>
    <w:rsid w:val="009874F0"/>
    <w:rsid w:val="009A132F"/>
    <w:rsid w:val="00A30012"/>
    <w:rsid w:val="00AD3586"/>
    <w:rsid w:val="00C70262"/>
    <w:rsid w:val="00CC733C"/>
    <w:rsid w:val="00FA6E17"/>
    <w:rsid w:val="20F9577F"/>
    <w:rsid w:val="26C45238"/>
    <w:rsid w:val="2EBF5FFA"/>
    <w:rsid w:val="498A56B2"/>
    <w:rsid w:val="56B619B2"/>
    <w:rsid w:val="57FF1AB3"/>
    <w:rsid w:val="5DC72E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kinsoku w:val="0"/>
      <w:autoSpaceDE w:val="0"/>
      <w:autoSpaceDN w:val="0"/>
      <w:adjustRightInd w:val="0"/>
      <w:snapToGrid w:val="0"/>
      <w:jc w:val="left"/>
      <w:textAlignment w:val="baseline"/>
    </w:pPr>
    <w:rPr>
      <w:rFonts w:ascii="Arial" w:hAnsi="Arial" w:cs="Arial" w:eastAsiaTheme="minorEastAsia"/>
      <w:snapToGrid w:val="0"/>
      <w:color w:val="000000"/>
      <w:kern w:val="0"/>
      <w:sz w:val="21"/>
      <w:szCs w:val="21"/>
      <w:lang w:val="en-US" w:eastAsia="zh-CN" w:bidi="ar-SA"/>
      <w14:ligatures w14:val="none"/>
    </w:rPr>
  </w:style>
  <w:style w:type="paragraph" w:styleId="3">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2">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5"/>
    <w:unhideWhenUsed/>
    <w:qFormat/>
    <w:uiPriority w:val="99"/>
    <w:pPr>
      <w:tabs>
        <w:tab w:val="center" w:pos="4153"/>
        <w:tab w:val="right" w:pos="8306"/>
      </w:tabs>
    </w:pPr>
    <w:rPr>
      <w:sz w:val="18"/>
      <w:szCs w:val="18"/>
    </w:rPr>
  </w:style>
  <w:style w:type="paragraph" w:styleId="12">
    <w:name w:val="header"/>
    <w:basedOn w:val="1"/>
    <w:link w:val="36"/>
    <w:unhideWhenUsed/>
    <w:qFormat/>
    <w:uiPriority w:val="99"/>
    <w:pPr>
      <w:pBdr>
        <w:bottom w:val="single" w:color="auto" w:sz="6" w:space="1"/>
      </w:pBdr>
      <w:tabs>
        <w:tab w:val="center" w:pos="4153"/>
        <w:tab w:val="right" w:pos="8306"/>
      </w:tabs>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3"/>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2"/>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脚 字符"/>
    <w:basedOn w:val="16"/>
    <w:link w:val="11"/>
    <w:qFormat/>
    <w:uiPriority w:val="99"/>
    <w:rPr>
      <w:rFonts w:ascii="Arial" w:hAnsi="Arial" w:cs="Arial"/>
      <w:snapToGrid w:val="0"/>
      <w:color w:val="000000"/>
      <w:kern w:val="0"/>
      <w:sz w:val="18"/>
      <w:szCs w:val="18"/>
      <w14:ligatures w14:val="none"/>
    </w:rPr>
  </w:style>
  <w:style w:type="character" w:customStyle="1" w:styleId="36">
    <w:name w:val="页眉 字符"/>
    <w:basedOn w:val="16"/>
    <w:link w:val="12"/>
    <w:qFormat/>
    <w:uiPriority w:val="99"/>
    <w:rPr>
      <w:rFonts w:ascii="Arial" w:hAnsi="Arial" w:cs="Arial"/>
      <w:snapToGrid w:val="0"/>
      <w:color w:val="000000"/>
      <w:kern w:val="0"/>
      <w:sz w:val="18"/>
      <w:szCs w:val="18"/>
      <w14:ligatures w14:val="none"/>
    </w:rPr>
  </w:style>
  <w:style w:type="paragraph" w:customStyle="1" w:styleId="37">
    <w:name w:val="纯文本1"/>
    <w:basedOn w:val="1"/>
    <w:qFormat/>
    <w:uiPriority w:val="0"/>
    <w:pPr>
      <w:widowControl w:val="0"/>
      <w:kinsoku/>
      <w:autoSpaceDE/>
      <w:autoSpaceDN/>
      <w:spacing w:line="360" w:lineRule="auto"/>
      <w:jc w:val="both"/>
    </w:pPr>
    <w:rPr>
      <w:rFonts w:ascii="宋体" w:hAnsi="Courier New" w:eastAsia="宋体" w:cs="Times New Roman"/>
      <w:color w:val="auto"/>
      <w:kern w:val="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1402</Words>
  <Characters>1570</Characters>
  <Lines>13</Lines>
  <Paragraphs>3</Paragraphs>
  <TotalTime>23</TotalTime>
  <ScaleCrop>false</ScaleCrop>
  <LinksUpToDate>false</LinksUpToDate>
  <CharactersWithSpaces>1702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2026-07-01T01:33:00Z</dcterms:created>
  <dc:creator>泓峻 陈</dc:creator>
  <cp:lastModifiedBy>Driven Spirit.T</cp:lastModifiedBy>
  <dcterms:modified xsi:type="dcterms:W3CDTF">2026-07-21T11:17:18Z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eyJoZGlkIjoiZDhkZDcxZTgwMTU0ZGJlMjAyOGYwODEyYjkzZDMyMDQiLCJ1c2VySWQiOiI1ODkyNjUxNzgifQ==</vt:lpwstr>
  </property>
  <property fmtid="{D5CDD505-2E9C-101B-9397-08002B2CF9AE}" pid="3" name="KSOProductBuildVer">
    <vt:lpwstr>2052-12.1.0.26895</vt:lpwstr>
  </property>
  <property fmtid="{D5CDD505-2E9C-101B-9397-08002B2CF9AE}" pid="4" name="ICV">
    <vt:lpwstr>854C8F3BF64544D7ABF5DC802FE7D679_13</vt:lpwstr>
  </property>
</Properties>
</file>